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i w:val="0"/>
          <w:iCs w:val="0"/>
          <w:caps w:val="0"/>
          <w:color w:val="333333"/>
          <w:spacing w:val="0"/>
          <w:sz w:val="45"/>
          <w:szCs w:val="45"/>
          <w:shd w:val="clear" w:fill="FFFFFF"/>
        </w:rPr>
      </w:pPr>
      <w:r>
        <w:rPr>
          <w:rFonts w:ascii="微软雅黑" w:hAnsi="微软雅黑" w:eastAsia="微软雅黑" w:cs="微软雅黑"/>
          <w:i w:val="0"/>
          <w:iCs w:val="0"/>
          <w:caps w:val="0"/>
          <w:color w:val="333333"/>
          <w:spacing w:val="0"/>
          <w:sz w:val="45"/>
          <w:szCs w:val="45"/>
          <w:shd w:val="clear" w:fill="FFFFFF"/>
        </w:rPr>
        <w:t>重庆市民政局关于印发重庆市殡葬事业发展“十三五”规划的通知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0"/>
        <w:rPr>
          <w:rFonts w:ascii="微软雅黑" w:hAnsi="微软雅黑" w:eastAsia="微软雅黑" w:cs="微软雅黑"/>
          <w:i w:val="0"/>
          <w:iCs w:val="0"/>
          <w:caps w:val="0"/>
          <w:color w:val="333333"/>
          <w:spacing w:val="0"/>
          <w:sz w:val="24"/>
          <w:szCs w:val="24"/>
        </w:rPr>
      </w:pPr>
      <w:r>
        <w:rPr>
          <w:rFonts w:ascii="方正仿宋_GBK" w:hAnsi="方正仿宋_GBK" w:eastAsia="方正仿宋_GBK" w:cs="方正仿宋_GBK"/>
          <w:i w:val="0"/>
          <w:iCs w:val="0"/>
          <w:caps w:val="0"/>
          <w:color w:val="333333"/>
          <w:spacing w:val="0"/>
          <w:sz w:val="31"/>
          <w:szCs w:val="31"/>
          <w:shd w:val="clear" w:fill="FFFFFF"/>
        </w:rPr>
        <w:t>各区县（自治县）人民政府，市级有关部门：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《重庆市殡葬事业发展“十三五”规划》已经市政府同意，现印发给你们，请认真组织实施。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0"/>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0"/>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0"/>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5280"/>
        <w:jc w:val="right"/>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重庆市民政局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0"/>
        <w:jc w:val="right"/>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31"/>
          <w:szCs w:val="31"/>
          <w:shd w:val="clear" w:fill="FFFFFF"/>
        </w:rPr>
        <w:t> </w:t>
      </w:r>
      <w:r>
        <w:rPr>
          <w:rFonts w:hint="eastAsia" w:ascii="方正仿宋_GBK" w:hAnsi="方正仿宋_GBK" w:eastAsia="方正仿宋_GBK" w:cs="方正仿宋_GBK"/>
          <w:i w:val="0"/>
          <w:iCs w:val="0"/>
          <w:caps w:val="0"/>
          <w:color w:val="333333"/>
          <w:spacing w:val="0"/>
          <w:sz w:val="31"/>
          <w:szCs w:val="31"/>
          <w:shd w:val="clear" w:fill="FFFFFF"/>
        </w:rPr>
        <w:t>                             </w:t>
      </w:r>
      <w:r>
        <w:rPr>
          <w:rFonts w:hint="default" w:ascii="Times New Roman" w:hAnsi="Times New Roman" w:eastAsia="微软雅黑" w:cs="Times New Roman"/>
          <w:i w:val="0"/>
          <w:iCs w:val="0"/>
          <w:caps w:val="0"/>
          <w:color w:val="333333"/>
          <w:spacing w:val="0"/>
          <w:sz w:val="31"/>
          <w:szCs w:val="31"/>
          <w:shd w:val="clear" w:fill="FFFFFF"/>
        </w:rPr>
        <w:t>  2017</w:t>
      </w:r>
      <w:r>
        <w:rPr>
          <w:rFonts w:hint="eastAsia" w:ascii="方正仿宋_GBK" w:hAnsi="方正仿宋_GBK" w:eastAsia="方正仿宋_GBK" w:cs="方正仿宋_GBK"/>
          <w:i w:val="0"/>
          <w:iCs w:val="0"/>
          <w:caps w:val="0"/>
          <w:color w:val="333333"/>
          <w:spacing w:val="0"/>
          <w:sz w:val="31"/>
          <w:szCs w:val="31"/>
          <w:shd w:val="clear" w:fill="FFFFFF"/>
        </w:rPr>
        <w:t>年</w:t>
      </w:r>
      <w:r>
        <w:rPr>
          <w:rFonts w:hint="default" w:ascii="Times New Roman" w:hAnsi="Times New Roman" w:eastAsia="微软雅黑" w:cs="Times New Roman"/>
          <w:i w:val="0"/>
          <w:iCs w:val="0"/>
          <w:caps w:val="0"/>
          <w:color w:val="333333"/>
          <w:spacing w:val="0"/>
          <w:sz w:val="31"/>
          <w:szCs w:val="31"/>
          <w:shd w:val="clear" w:fill="FFFFFF"/>
        </w:rPr>
        <w:t>1</w:t>
      </w:r>
      <w:r>
        <w:rPr>
          <w:rFonts w:hint="eastAsia" w:ascii="方正仿宋_GBK" w:hAnsi="方正仿宋_GBK" w:eastAsia="方正仿宋_GBK" w:cs="方正仿宋_GBK"/>
          <w:i w:val="0"/>
          <w:iCs w:val="0"/>
          <w:caps w:val="0"/>
          <w:color w:val="333333"/>
          <w:spacing w:val="0"/>
          <w:sz w:val="31"/>
          <w:szCs w:val="31"/>
          <w:shd w:val="clear" w:fill="FFFFFF"/>
        </w:rPr>
        <w:t>月</w:t>
      </w:r>
      <w:r>
        <w:rPr>
          <w:rFonts w:hint="default" w:ascii="Times New Roman" w:hAnsi="Times New Roman" w:eastAsia="方正仿宋_GBK" w:cs="Times New Roman"/>
          <w:i w:val="0"/>
          <w:iCs w:val="0"/>
          <w:caps w:val="0"/>
          <w:color w:val="333333"/>
          <w:spacing w:val="0"/>
          <w:sz w:val="31"/>
          <w:szCs w:val="31"/>
          <w:shd w:val="clear" w:fill="FFFFFF"/>
        </w:rPr>
        <w:t>11</w:t>
      </w:r>
      <w:r>
        <w:rPr>
          <w:rFonts w:hint="eastAsia" w:ascii="方正仿宋_GBK" w:hAnsi="方正仿宋_GBK" w:eastAsia="方正仿宋_GBK" w:cs="方正仿宋_GBK"/>
          <w:i w:val="0"/>
          <w:iCs w:val="0"/>
          <w:caps w:val="0"/>
          <w:color w:val="333333"/>
          <w:spacing w:val="0"/>
          <w:sz w:val="31"/>
          <w:szCs w:val="31"/>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0"/>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ascii="方正小标宋_GBK" w:hAnsi="方正小标宋_GBK" w:eastAsia="方正小标宋_GBK" w:cs="方正小标宋_GBK"/>
          <w:i w:val="0"/>
          <w:iCs w:val="0"/>
          <w:caps w:val="0"/>
          <w:color w:val="333333"/>
          <w:spacing w:val="0"/>
          <w:sz w:val="43"/>
          <w:szCs w:val="43"/>
          <w:shd w:val="clear" w:fill="FFFFFF"/>
        </w:rPr>
        <w:t>重庆市殡葬事业发展</w:t>
      </w:r>
      <w:r>
        <w:rPr>
          <w:rFonts w:hint="default" w:ascii="方正小标宋_GBK" w:hAnsi="方正小标宋_GBK" w:eastAsia="方正小标宋_GBK" w:cs="方正小标宋_GBK"/>
          <w:i w:val="0"/>
          <w:iCs w:val="0"/>
          <w:caps w:val="0"/>
          <w:color w:val="333333"/>
          <w:spacing w:val="0"/>
          <w:sz w:val="43"/>
          <w:szCs w:val="43"/>
          <w:shd w:val="clear" w:fill="FFFFFF"/>
        </w:rPr>
        <w:t>“十三五”规划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480"/>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为推进重庆市殡葬事业科学发展，依据《重庆市国民经济和社会发展第十三个五年规划纲要》、《重庆市民政事业发展第十三个五年规划》和《殡葬管理条例》等法规政策，结合重庆实际，制定本规划。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iCs w:val="0"/>
          <w:caps w:val="0"/>
          <w:color w:val="333333"/>
          <w:spacing w:val="0"/>
          <w:sz w:val="24"/>
          <w:szCs w:val="24"/>
        </w:rPr>
      </w:pPr>
      <w:r>
        <w:rPr>
          <w:rFonts w:ascii="方正黑体_GBK" w:hAnsi="方正黑体_GBK" w:eastAsia="方正黑体_GBK" w:cs="方正黑体_GBK"/>
          <w:i w:val="0"/>
          <w:iCs w:val="0"/>
          <w:caps w:val="0"/>
          <w:color w:val="333333"/>
          <w:spacing w:val="0"/>
          <w:sz w:val="31"/>
          <w:szCs w:val="31"/>
          <w:shd w:val="clear" w:fill="FFFFFF"/>
        </w:rPr>
        <w:t>一、发展现状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十二五”期间，在全市各级党委、政府的高度重视和各有关部门的共同努力下，我市殡葬事业取得了长足的发展。殡葬改革稳步推进，火化率逐步提高，设施建设步伐加快，基本殡葬服务设施进一步完善，乱埋乱葬得到有效遏止，管理体制进一步理顺，服务水平得到提升，殡葬惠民政策初显成效。“十二五”末，全市火化率达到</w:t>
      </w:r>
      <w:r>
        <w:rPr>
          <w:rFonts w:hint="default" w:ascii="Times New Roman" w:hAnsi="Times New Roman" w:eastAsia="微软雅黑" w:cs="Times New Roman"/>
          <w:i w:val="0"/>
          <w:iCs w:val="0"/>
          <w:caps w:val="0"/>
          <w:color w:val="333333"/>
          <w:spacing w:val="0"/>
          <w:sz w:val="31"/>
          <w:szCs w:val="31"/>
          <w:shd w:val="clear" w:fill="FFFFFF"/>
        </w:rPr>
        <w:t>45%</w:t>
      </w:r>
      <w:r>
        <w:rPr>
          <w:rFonts w:hint="eastAsia" w:ascii="方正仿宋_GBK" w:hAnsi="方正仿宋_GBK" w:eastAsia="方正仿宋_GBK" w:cs="方正仿宋_GBK"/>
          <w:i w:val="0"/>
          <w:iCs w:val="0"/>
          <w:caps w:val="0"/>
          <w:color w:val="333333"/>
          <w:spacing w:val="0"/>
          <w:sz w:val="31"/>
          <w:szCs w:val="31"/>
          <w:shd w:val="clear" w:fill="FFFFFF"/>
        </w:rPr>
        <w:t>，新建及改迁建殡仪馆</w:t>
      </w:r>
      <w:r>
        <w:rPr>
          <w:rFonts w:hint="default" w:ascii="Times New Roman" w:hAnsi="Times New Roman" w:eastAsia="微软雅黑" w:cs="Times New Roman"/>
          <w:i w:val="0"/>
          <w:iCs w:val="0"/>
          <w:caps w:val="0"/>
          <w:color w:val="333333"/>
          <w:spacing w:val="0"/>
          <w:sz w:val="31"/>
          <w:szCs w:val="31"/>
          <w:shd w:val="clear" w:fill="FFFFFF"/>
        </w:rPr>
        <w:t>18</w:t>
      </w:r>
      <w:r>
        <w:rPr>
          <w:rFonts w:hint="eastAsia" w:ascii="方正仿宋_GBK" w:hAnsi="方正仿宋_GBK" w:eastAsia="方正仿宋_GBK" w:cs="方正仿宋_GBK"/>
          <w:i w:val="0"/>
          <w:iCs w:val="0"/>
          <w:caps w:val="0"/>
          <w:color w:val="333333"/>
          <w:spacing w:val="0"/>
          <w:sz w:val="31"/>
          <w:szCs w:val="31"/>
          <w:shd w:val="clear" w:fill="FFFFFF"/>
        </w:rPr>
        <w:t>个，新建殡仪服务站</w:t>
      </w:r>
      <w:r>
        <w:rPr>
          <w:rFonts w:hint="default" w:ascii="Times New Roman" w:hAnsi="Times New Roman" w:eastAsia="微软雅黑" w:cs="Times New Roman"/>
          <w:i w:val="0"/>
          <w:iCs w:val="0"/>
          <w:caps w:val="0"/>
          <w:color w:val="333333"/>
          <w:spacing w:val="0"/>
          <w:sz w:val="31"/>
          <w:szCs w:val="31"/>
          <w:shd w:val="clear" w:fill="FFFFFF"/>
        </w:rPr>
        <w:t>10</w:t>
      </w:r>
      <w:r>
        <w:rPr>
          <w:rFonts w:hint="eastAsia" w:ascii="方正仿宋_GBK" w:hAnsi="方正仿宋_GBK" w:eastAsia="方正仿宋_GBK" w:cs="方正仿宋_GBK"/>
          <w:i w:val="0"/>
          <w:iCs w:val="0"/>
          <w:caps w:val="0"/>
          <w:color w:val="333333"/>
          <w:spacing w:val="0"/>
          <w:sz w:val="31"/>
          <w:szCs w:val="31"/>
          <w:shd w:val="clear" w:fill="FFFFFF"/>
        </w:rPr>
        <w:t>个，新建城市公益性公墓</w:t>
      </w:r>
      <w:r>
        <w:rPr>
          <w:rFonts w:hint="default" w:ascii="Times New Roman" w:hAnsi="Times New Roman" w:eastAsia="微软雅黑" w:cs="Times New Roman"/>
          <w:i w:val="0"/>
          <w:iCs w:val="0"/>
          <w:caps w:val="0"/>
          <w:color w:val="333333"/>
          <w:spacing w:val="0"/>
          <w:sz w:val="31"/>
          <w:szCs w:val="31"/>
          <w:shd w:val="clear" w:fill="FFFFFF"/>
        </w:rPr>
        <w:t>9</w:t>
      </w:r>
      <w:r>
        <w:rPr>
          <w:rFonts w:hint="eastAsia" w:ascii="方正仿宋_GBK" w:hAnsi="方正仿宋_GBK" w:eastAsia="方正仿宋_GBK" w:cs="方正仿宋_GBK"/>
          <w:i w:val="0"/>
          <w:iCs w:val="0"/>
          <w:caps w:val="0"/>
          <w:color w:val="333333"/>
          <w:spacing w:val="0"/>
          <w:sz w:val="31"/>
          <w:szCs w:val="31"/>
          <w:shd w:val="clear" w:fill="FFFFFF"/>
        </w:rPr>
        <w:t>个、农村公益性公墓</w:t>
      </w:r>
      <w:r>
        <w:rPr>
          <w:rFonts w:hint="default" w:ascii="Times New Roman" w:hAnsi="Times New Roman" w:eastAsia="微软雅黑" w:cs="Times New Roman"/>
          <w:i w:val="0"/>
          <w:iCs w:val="0"/>
          <w:caps w:val="0"/>
          <w:color w:val="333333"/>
          <w:spacing w:val="0"/>
          <w:sz w:val="31"/>
          <w:szCs w:val="31"/>
          <w:shd w:val="clear" w:fill="FFFFFF"/>
        </w:rPr>
        <w:t>133</w:t>
      </w:r>
      <w:r>
        <w:rPr>
          <w:rFonts w:hint="eastAsia" w:ascii="方正仿宋_GBK" w:hAnsi="方正仿宋_GBK" w:eastAsia="方正仿宋_GBK" w:cs="方正仿宋_GBK"/>
          <w:i w:val="0"/>
          <w:iCs w:val="0"/>
          <w:caps w:val="0"/>
          <w:color w:val="333333"/>
          <w:spacing w:val="0"/>
          <w:sz w:val="31"/>
          <w:szCs w:val="31"/>
          <w:shd w:val="clear" w:fill="FFFFFF"/>
        </w:rPr>
        <w:t>个，主城区集中治丧率达到</w:t>
      </w:r>
      <w:r>
        <w:rPr>
          <w:rFonts w:hint="default" w:ascii="Times New Roman" w:hAnsi="Times New Roman" w:eastAsia="微软雅黑" w:cs="Times New Roman"/>
          <w:i w:val="0"/>
          <w:iCs w:val="0"/>
          <w:caps w:val="0"/>
          <w:color w:val="333333"/>
          <w:spacing w:val="0"/>
          <w:sz w:val="31"/>
          <w:szCs w:val="31"/>
          <w:shd w:val="clear" w:fill="FFFFFF"/>
        </w:rPr>
        <w:t>50%</w:t>
      </w:r>
      <w:r>
        <w:rPr>
          <w:rFonts w:hint="eastAsia" w:ascii="方正仿宋_GBK" w:hAnsi="方正仿宋_GBK" w:eastAsia="方正仿宋_GBK" w:cs="方正仿宋_GBK"/>
          <w:i w:val="0"/>
          <w:iCs w:val="0"/>
          <w:caps w:val="0"/>
          <w:color w:val="333333"/>
          <w:spacing w:val="0"/>
          <w:sz w:val="31"/>
          <w:szCs w:val="31"/>
          <w:shd w:val="clear" w:fill="FFFFFF"/>
        </w:rPr>
        <w:t>，全市节地生态安葬比例达到</w:t>
      </w:r>
      <w:r>
        <w:rPr>
          <w:rFonts w:hint="default" w:ascii="Times New Roman" w:hAnsi="Times New Roman" w:eastAsia="微软雅黑" w:cs="Times New Roman"/>
          <w:i w:val="0"/>
          <w:iCs w:val="0"/>
          <w:caps w:val="0"/>
          <w:color w:val="333333"/>
          <w:spacing w:val="0"/>
          <w:sz w:val="31"/>
          <w:szCs w:val="31"/>
          <w:shd w:val="clear" w:fill="FFFFFF"/>
        </w:rPr>
        <w:t>30%</w:t>
      </w:r>
      <w:r>
        <w:rPr>
          <w:rFonts w:hint="eastAsia" w:ascii="方正仿宋_GBK" w:hAnsi="方正仿宋_GBK" w:eastAsia="方正仿宋_GBK" w:cs="方正仿宋_GBK"/>
          <w:i w:val="0"/>
          <w:iCs w:val="0"/>
          <w:caps w:val="0"/>
          <w:color w:val="333333"/>
          <w:spacing w:val="0"/>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但是，随着改革的不断深入和经济社会的快速发展，我市殡葬事业在殡葬资源配置、殡葬服务质量、殡葬救助保障、殡葬管理体制和运行机制等方面，尚不能完全满足人民群众的丧葬需求，还存在一些亟待解决的问题，主要表现在：一是火葬改革步伐迟缓，全市死亡人口火化率偏低。二是政府公共投入严重不足，基本殡葬设施建设滞后，布局不合理，设施总量不足。三是殡葬惠民政策不完善，基本殡葬公共服务均等化水平较低。四是现行殡葬法规滞后，管理体制不顺，职能部门协同监管机制不健全，殡葬管理力量薄弱，殡葬执法困难。五是殡葬服务整体水平有待提高，殡葬服务标准化、规范化建设、行业管理需要进一步加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党的十八大以来，以习近平同志为核心的党中央形成的一系列治国理政新理念、新思想、新战略，为深化殡葬事业改革发展提供了科学理论指导和行动指南。“十三五”时期，全市深入贯彻落实全面建成小康社会、全面深化改革、全面依法治国、全面从严治党的战略布局，持续推进“科学发展、富民兴渝”，将为殡葬事业发展提供历史性机遇。发展方式转变和产业结构调整提速，增加公共产品、公共服务，将进一步夯实殡葬事业健康发展的物质基础。全面深化改革将改革发展成果更多更公平惠及全体人民。全面推进依法治市，将为殡葬法治建设提供规范和遵循。全面建成小康社会，不断提升殡葬公共服务保障水平，为殡葬事业科学发展创造了重要契机。发展战略深入实施，推动城乡发展一体化和基本公共服务均等化，将为建立健全殡葬基本公共服务体系提供广阔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同时，随着“五位一体”总体布局纵深展开，“四个全面”战略布局协调推进，对加速殡葬改革、提升殡葬服务、强化殡葬管理、弘扬殡葬文化等工作提出了新的更高的要求，殡葬事业也面临新的挑战。一是构建基本殡葬服务体系，完善殡葬惠民政策，推进基本殡葬服务均等化，财政压力增大，迫切需要创新发展方式，积极引导社会力量参与殡葬改革，完善体制机制。二是推行节地生态安葬，较大幅度提高节地生态安葬比例，目标任务十分艰巨，迫切需要持续加强宣传教育、抓好监督指导、推动政策落实。三是新的环保标准实施，殡葬生态环保意识增强，迫切需要加大殡葬设备更新改造力度，提高殡葬生态环保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综合判断，“十三五”时期全市殡葬事业发展机遇和挑战并存。我们要坚定信心、抓住机遇，加快破解发展中的难题，奋力书写殡葬事业科学发展新的篇章。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shd w:val="clear" w:fill="FFFFFF"/>
        </w:rPr>
        <w:t>二、总体要求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iCs w:val="0"/>
          <w:caps w:val="0"/>
          <w:color w:val="333333"/>
          <w:spacing w:val="0"/>
          <w:sz w:val="24"/>
          <w:szCs w:val="24"/>
        </w:rPr>
      </w:pPr>
      <w:r>
        <w:rPr>
          <w:rFonts w:ascii="方正楷体_GBK" w:hAnsi="方正楷体_GBK" w:eastAsia="方正楷体_GBK" w:cs="方正楷体_GBK"/>
          <w:i w:val="0"/>
          <w:iCs w:val="0"/>
          <w:caps w:val="0"/>
          <w:color w:val="333333"/>
          <w:spacing w:val="0"/>
          <w:sz w:val="31"/>
          <w:szCs w:val="31"/>
          <w:shd w:val="clear" w:fill="FFFFFF"/>
        </w:rPr>
        <w:t>（一）指导思想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以党的十八大精神为指导，坚持实行火葬，改革土葬，节约殡葬用地，革除丧葬陋俗，提倡文明节俭办丧事的殡葬改革方针，进一步深化殡葬改革，完善体制机制，强化政府兜底基本殡葬服务的责任和投入，以构建全市基本殡葬服务体系为重点，以完善惠民殡葬政策为导向，切实提高政府公共服务能力，不断满足群众基本丧葬需求，鼓励支持社会力量提供选择性殡葬服务，满足群众多层次、个性化需求，坚持发展绿色殡葬，推行文明治丧，推动生态节地安葬，实施低碳祭扫，形成殡、葬、祭协调推进，互动发展格局，以深化殡葬改革来助推建设，促进全市经济社会持续健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楷体_GBK" w:hAnsi="方正楷体_GBK" w:eastAsia="方正楷体_GBK" w:cs="方正楷体_GBK"/>
          <w:i w:val="0"/>
          <w:iCs w:val="0"/>
          <w:caps w:val="0"/>
          <w:color w:val="333333"/>
          <w:spacing w:val="0"/>
          <w:sz w:val="31"/>
          <w:szCs w:val="31"/>
          <w:shd w:val="clear" w:fill="FFFFFF"/>
        </w:rPr>
        <w:t>（二）基本原则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iCs w:val="0"/>
          <w:caps w:val="0"/>
          <w:color w:val="333333"/>
          <w:spacing w:val="0"/>
          <w:sz w:val="24"/>
          <w:szCs w:val="24"/>
        </w:rPr>
      </w:pPr>
      <w:r>
        <w:rPr>
          <w:rStyle w:val="5"/>
          <w:rFonts w:hint="eastAsia" w:ascii="方正仿宋_GBK" w:hAnsi="方正仿宋_GBK" w:eastAsia="方正仿宋_GBK" w:cs="方正仿宋_GBK"/>
          <w:i w:val="0"/>
          <w:iCs w:val="0"/>
          <w:caps w:val="0"/>
          <w:color w:val="333333"/>
          <w:spacing w:val="0"/>
          <w:sz w:val="31"/>
          <w:szCs w:val="31"/>
          <w:shd w:val="clear" w:fill="FFFFFF"/>
        </w:rPr>
        <w:t>公益优先，惠民殡葬。</w:t>
      </w:r>
      <w:r>
        <w:rPr>
          <w:rFonts w:hint="eastAsia" w:ascii="方正仿宋_GBK" w:hAnsi="方正仿宋_GBK" w:eastAsia="方正仿宋_GBK" w:cs="方正仿宋_GBK"/>
          <w:i w:val="0"/>
          <w:iCs w:val="0"/>
          <w:caps w:val="0"/>
          <w:color w:val="333333"/>
          <w:spacing w:val="0"/>
          <w:sz w:val="31"/>
          <w:szCs w:val="31"/>
          <w:shd w:val="clear" w:fill="FFFFFF"/>
        </w:rPr>
        <w:t>坚持基本殡葬服务公益属性，提高政府公共服务保障能力，不断满足群众基本丧葬服务需求。按照“保基本、广覆盖、多层次、可持续”原则，逐步完善惠民殡葬政策，推进基本殡葬服务均等化。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iCs w:val="0"/>
          <w:caps w:val="0"/>
          <w:color w:val="333333"/>
          <w:spacing w:val="0"/>
          <w:sz w:val="24"/>
          <w:szCs w:val="24"/>
        </w:rPr>
      </w:pPr>
      <w:r>
        <w:rPr>
          <w:rStyle w:val="5"/>
          <w:rFonts w:hint="eastAsia" w:ascii="方正仿宋_GBK" w:hAnsi="方正仿宋_GBK" w:eastAsia="方正仿宋_GBK" w:cs="方正仿宋_GBK"/>
          <w:i w:val="0"/>
          <w:iCs w:val="0"/>
          <w:caps w:val="0"/>
          <w:color w:val="333333"/>
          <w:spacing w:val="0"/>
          <w:sz w:val="31"/>
          <w:szCs w:val="31"/>
          <w:shd w:val="clear" w:fill="FFFFFF"/>
        </w:rPr>
        <w:t>绿色生态，保护环境。</w:t>
      </w:r>
      <w:r>
        <w:rPr>
          <w:rFonts w:hint="eastAsia" w:ascii="方正仿宋_GBK" w:hAnsi="方正仿宋_GBK" w:eastAsia="方正仿宋_GBK" w:cs="方正仿宋_GBK"/>
          <w:i w:val="0"/>
          <w:iCs w:val="0"/>
          <w:caps w:val="0"/>
          <w:color w:val="333333"/>
          <w:spacing w:val="0"/>
          <w:sz w:val="31"/>
          <w:szCs w:val="31"/>
          <w:shd w:val="clear" w:fill="FFFFFF"/>
        </w:rPr>
        <w:t>树立绿色殡葬理念，充分发挥殡葬改革在建设资源节约型、环境友好型社会的重要作用。积极推广生态节地葬法，不断提高生态安葬比例。倡导文明节俭殡葬新风尚，不断提高群众绿色殡葬消费自觉性。加强殡葬设施设备改造，创新殡葬科技，不断提高节约资源、生态环保、污染物减排等方面的能力和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iCs w:val="0"/>
          <w:caps w:val="0"/>
          <w:color w:val="333333"/>
          <w:spacing w:val="0"/>
          <w:sz w:val="24"/>
          <w:szCs w:val="24"/>
        </w:rPr>
      </w:pPr>
      <w:r>
        <w:rPr>
          <w:rStyle w:val="5"/>
          <w:rFonts w:hint="eastAsia" w:ascii="方正仿宋_GBK" w:hAnsi="方正仿宋_GBK" w:eastAsia="方正仿宋_GBK" w:cs="方正仿宋_GBK"/>
          <w:i w:val="0"/>
          <w:iCs w:val="0"/>
          <w:caps w:val="0"/>
          <w:color w:val="333333"/>
          <w:spacing w:val="0"/>
          <w:sz w:val="31"/>
          <w:szCs w:val="31"/>
          <w:shd w:val="clear" w:fill="FFFFFF"/>
        </w:rPr>
        <w:t>政府主导，社会参与。</w:t>
      </w:r>
      <w:r>
        <w:rPr>
          <w:rFonts w:hint="eastAsia" w:ascii="方正仿宋_GBK" w:hAnsi="方正仿宋_GBK" w:eastAsia="方正仿宋_GBK" w:cs="方正仿宋_GBK"/>
          <w:i w:val="0"/>
          <w:iCs w:val="0"/>
          <w:caps w:val="0"/>
          <w:color w:val="333333"/>
          <w:spacing w:val="0"/>
          <w:sz w:val="31"/>
          <w:szCs w:val="31"/>
          <w:shd w:val="clear" w:fill="FFFFFF"/>
        </w:rPr>
        <w:t>发挥政府在殡葬事业发展中的主导作用，完善以公共财政为主渠道的基本殡葬服务资金保障机制。组织和动员社会力量有序参与殡葬改革，完善社会参与机制。利用和整合各种社会资源，形成政府主导、部门协调、社会参与的工作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iCs w:val="0"/>
          <w:caps w:val="0"/>
          <w:color w:val="333333"/>
          <w:spacing w:val="0"/>
          <w:sz w:val="24"/>
          <w:szCs w:val="24"/>
        </w:rPr>
      </w:pPr>
      <w:r>
        <w:rPr>
          <w:rStyle w:val="5"/>
          <w:rFonts w:hint="eastAsia" w:ascii="方正仿宋_GBK" w:hAnsi="方正仿宋_GBK" w:eastAsia="方正仿宋_GBK" w:cs="方正仿宋_GBK"/>
          <w:i w:val="0"/>
          <w:iCs w:val="0"/>
          <w:caps w:val="0"/>
          <w:color w:val="333333"/>
          <w:spacing w:val="0"/>
          <w:sz w:val="31"/>
          <w:szCs w:val="31"/>
          <w:shd w:val="clear" w:fill="FFFFFF"/>
        </w:rPr>
        <w:t>统筹兼顾，分类指导。</w:t>
      </w:r>
      <w:r>
        <w:rPr>
          <w:rFonts w:hint="eastAsia" w:ascii="方正仿宋_GBK" w:hAnsi="方正仿宋_GBK" w:eastAsia="方正仿宋_GBK" w:cs="方正仿宋_GBK"/>
          <w:i w:val="0"/>
          <w:iCs w:val="0"/>
          <w:caps w:val="0"/>
          <w:color w:val="333333"/>
          <w:spacing w:val="0"/>
          <w:sz w:val="31"/>
          <w:szCs w:val="31"/>
          <w:shd w:val="clear" w:fill="FFFFFF"/>
        </w:rPr>
        <w:t>科学统揽全市殡葬事业发展，兼顾各地经济发展水平、丧葬习俗和城镇发展实际，根据条件和特点，因地制宜，不断完善殡葬改革政策措施。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楷体_GBK" w:hAnsi="方正楷体_GBK" w:eastAsia="方正楷体_GBK" w:cs="方正楷体_GBK"/>
          <w:i w:val="0"/>
          <w:iCs w:val="0"/>
          <w:caps w:val="0"/>
          <w:color w:val="333333"/>
          <w:spacing w:val="0"/>
          <w:sz w:val="31"/>
          <w:szCs w:val="31"/>
          <w:shd w:val="clear" w:fill="FFFFFF"/>
        </w:rPr>
        <w:t>（三）发展目标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“十三五”期间，加快建立布局合理、功能完善、生态文明的殡葬服务体系和高效有序</w:t>
      </w:r>
      <w:bookmarkStart w:id="0" w:name="_GoBack"/>
      <w:bookmarkEnd w:id="0"/>
      <w:r>
        <w:rPr>
          <w:rFonts w:hint="eastAsia" w:ascii="方正仿宋_GBK" w:hAnsi="方正仿宋_GBK" w:eastAsia="方正仿宋_GBK" w:cs="方正仿宋_GBK"/>
          <w:i w:val="0"/>
          <w:iCs w:val="0"/>
          <w:caps w:val="0"/>
          <w:color w:val="333333"/>
          <w:spacing w:val="0"/>
          <w:sz w:val="31"/>
          <w:szCs w:val="31"/>
          <w:shd w:val="clear" w:fill="FFFFFF"/>
        </w:rPr>
        <w:t>的殡葬管理体制、运行机制，实现基本殡葬公共服务覆盖全体城乡居民，基本形成节地生态的葬式葬法导向格局，全面建立基本殡葬救助保障制度和节地生态奖补政策，推动建立多元参与的现代殡葬综合治理体系，基本实现殡葬管理规范化、服务优质化、骨灰处理生态化、殡葬习俗文明化和殡葬设施现代化。到</w:t>
      </w:r>
      <w:r>
        <w:rPr>
          <w:rFonts w:hint="default" w:ascii="Times New Roman" w:hAnsi="Times New Roman" w:eastAsia="微软雅黑" w:cs="Times New Roman"/>
          <w:i w:val="0"/>
          <w:iCs w:val="0"/>
          <w:caps w:val="0"/>
          <w:color w:val="333333"/>
          <w:spacing w:val="0"/>
          <w:sz w:val="31"/>
          <w:szCs w:val="31"/>
          <w:shd w:val="clear" w:fill="FFFFFF"/>
        </w:rPr>
        <w:t>2020</w:t>
      </w:r>
      <w:r>
        <w:rPr>
          <w:rFonts w:hint="eastAsia" w:ascii="方正仿宋_GBK" w:hAnsi="方正仿宋_GBK" w:eastAsia="方正仿宋_GBK" w:cs="方正仿宋_GBK"/>
          <w:i w:val="0"/>
          <w:iCs w:val="0"/>
          <w:caps w:val="0"/>
          <w:color w:val="333333"/>
          <w:spacing w:val="0"/>
          <w:sz w:val="31"/>
          <w:szCs w:val="31"/>
          <w:shd w:val="clear" w:fill="FFFFFF"/>
        </w:rPr>
        <w:t>年，全市平均火化率达</w:t>
      </w:r>
      <w:r>
        <w:rPr>
          <w:rFonts w:hint="default" w:ascii="Times New Roman" w:hAnsi="Times New Roman" w:eastAsia="微软雅黑" w:cs="Times New Roman"/>
          <w:i w:val="0"/>
          <w:iCs w:val="0"/>
          <w:caps w:val="0"/>
          <w:color w:val="333333"/>
          <w:spacing w:val="0"/>
          <w:sz w:val="31"/>
          <w:szCs w:val="31"/>
          <w:shd w:val="clear" w:fill="FFFFFF"/>
        </w:rPr>
        <w:t>50%</w:t>
      </w:r>
      <w:r>
        <w:rPr>
          <w:rFonts w:hint="eastAsia" w:ascii="方正仿宋_GBK" w:hAnsi="方正仿宋_GBK" w:eastAsia="方正仿宋_GBK" w:cs="方正仿宋_GBK"/>
          <w:i w:val="0"/>
          <w:iCs w:val="0"/>
          <w:caps w:val="0"/>
          <w:color w:val="333333"/>
          <w:spacing w:val="0"/>
          <w:sz w:val="31"/>
          <w:szCs w:val="31"/>
          <w:shd w:val="clear" w:fill="FFFFFF"/>
        </w:rPr>
        <w:t>；火化设施污染排放限值达到国家标准；节地生态安葬比例达</w:t>
      </w:r>
      <w:r>
        <w:rPr>
          <w:rFonts w:hint="default" w:ascii="Times New Roman" w:hAnsi="Times New Roman" w:eastAsia="微软雅黑" w:cs="Times New Roman"/>
          <w:i w:val="0"/>
          <w:iCs w:val="0"/>
          <w:caps w:val="0"/>
          <w:color w:val="333333"/>
          <w:spacing w:val="0"/>
          <w:sz w:val="31"/>
          <w:szCs w:val="31"/>
          <w:shd w:val="clear" w:fill="FFFFFF"/>
        </w:rPr>
        <w:t>50%</w:t>
      </w:r>
      <w:r>
        <w:rPr>
          <w:rFonts w:hint="eastAsia" w:ascii="方正仿宋_GBK" w:hAnsi="方正仿宋_GBK" w:eastAsia="方正仿宋_GBK" w:cs="方正仿宋_GBK"/>
          <w:i w:val="0"/>
          <w:iCs w:val="0"/>
          <w:caps w:val="0"/>
          <w:color w:val="333333"/>
          <w:spacing w:val="0"/>
          <w:sz w:val="31"/>
          <w:szCs w:val="31"/>
          <w:shd w:val="clear" w:fill="FFFFFF"/>
        </w:rPr>
        <w:t>；主城区集中治丧率达</w:t>
      </w:r>
      <w:r>
        <w:rPr>
          <w:rFonts w:hint="default" w:ascii="Times New Roman" w:hAnsi="Times New Roman" w:eastAsia="微软雅黑" w:cs="Times New Roman"/>
          <w:i w:val="0"/>
          <w:iCs w:val="0"/>
          <w:caps w:val="0"/>
          <w:color w:val="333333"/>
          <w:spacing w:val="0"/>
          <w:sz w:val="31"/>
          <w:szCs w:val="31"/>
          <w:shd w:val="clear" w:fill="FFFFFF"/>
        </w:rPr>
        <w:t>65%</w:t>
      </w:r>
      <w:r>
        <w:rPr>
          <w:rFonts w:hint="eastAsia" w:ascii="方正仿宋_GBK" w:hAnsi="方正仿宋_GBK" w:eastAsia="方正仿宋_GBK" w:cs="方正仿宋_GBK"/>
          <w:i w:val="0"/>
          <w:iCs w:val="0"/>
          <w:caps w:val="0"/>
          <w:color w:val="333333"/>
          <w:spacing w:val="0"/>
          <w:sz w:val="31"/>
          <w:szCs w:val="31"/>
          <w:shd w:val="clear" w:fill="FFFFFF"/>
        </w:rPr>
        <w:t>，其他区县集中治丧率达</w:t>
      </w:r>
      <w:r>
        <w:rPr>
          <w:rFonts w:hint="default" w:ascii="Times New Roman" w:hAnsi="Times New Roman" w:eastAsia="微软雅黑" w:cs="Times New Roman"/>
          <w:i w:val="0"/>
          <w:iCs w:val="0"/>
          <w:caps w:val="0"/>
          <w:color w:val="333333"/>
          <w:spacing w:val="0"/>
          <w:sz w:val="31"/>
          <w:szCs w:val="31"/>
          <w:shd w:val="clear" w:fill="FFFFFF"/>
        </w:rPr>
        <w:t>40%</w:t>
      </w:r>
      <w:r>
        <w:rPr>
          <w:rFonts w:hint="eastAsia" w:ascii="方正仿宋_GBK" w:hAnsi="方正仿宋_GBK" w:eastAsia="方正仿宋_GBK" w:cs="方正仿宋_GBK"/>
          <w:i w:val="0"/>
          <w:iCs w:val="0"/>
          <w:caps w:val="0"/>
          <w:color w:val="333333"/>
          <w:spacing w:val="0"/>
          <w:sz w:val="31"/>
          <w:szCs w:val="31"/>
          <w:shd w:val="clear" w:fill="FFFFFF"/>
        </w:rPr>
        <w:t>；新建火葬殡仪馆</w:t>
      </w:r>
      <w:r>
        <w:rPr>
          <w:rFonts w:hint="default" w:ascii="Times New Roman" w:hAnsi="Times New Roman" w:eastAsia="微软雅黑" w:cs="Times New Roman"/>
          <w:i w:val="0"/>
          <w:iCs w:val="0"/>
          <w:caps w:val="0"/>
          <w:color w:val="333333"/>
          <w:spacing w:val="0"/>
          <w:sz w:val="31"/>
          <w:szCs w:val="31"/>
          <w:shd w:val="clear" w:fill="FFFFFF"/>
        </w:rPr>
        <w:t>6</w:t>
      </w:r>
      <w:r>
        <w:rPr>
          <w:rFonts w:hint="eastAsia" w:ascii="方正仿宋_GBK" w:hAnsi="方正仿宋_GBK" w:eastAsia="方正仿宋_GBK" w:cs="方正仿宋_GBK"/>
          <w:i w:val="0"/>
          <w:iCs w:val="0"/>
          <w:caps w:val="0"/>
          <w:color w:val="333333"/>
          <w:spacing w:val="0"/>
          <w:sz w:val="31"/>
          <w:szCs w:val="31"/>
          <w:shd w:val="clear" w:fill="FFFFFF"/>
        </w:rPr>
        <w:t>个，改迁建殡仪馆</w:t>
      </w:r>
      <w:r>
        <w:rPr>
          <w:rFonts w:hint="default" w:ascii="Times New Roman" w:hAnsi="Times New Roman" w:eastAsia="微软雅黑" w:cs="Times New Roman"/>
          <w:i w:val="0"/>
          <w:iCs w:val="0"/>
          <w:caps w:val="0"/>
          <w:color w:val="333333"/>
          <w:spacing w:val="0"/>
          <w:sz w:val="31"/>
          <w:szCs w:val="31"/>
          <w:shd w:val="clear" w:fill="FFFFFF"/>
        </w:rPr>
        <w:t>17</w:t>
      </w:r>
      <w:r>
        <w:rPr>
          <w:rFonts w:hint="eastAsia" w:ascii="方正仿宋_GBK" w:hAnsi="方正仿宋_GBK" w:eastAsia="方正仿宋_GBK" w:cs="方正仿宋_GBK"/>
          <w:i w:val="0"/>
          <w:iCs w:val="0"/>
          <w:caps w:val="0"/>
          <w:color w:val="333333"/>
          <w:spacing w:val="0"/>
          <w:sz w:val="31"/>
          <w:szCs w:val="31"/>
          <w:shd w:val="clear" w:fill="FFFFFF"/>
        </w:rPr>
        <w:t>个，火化炉环保改造</w:t>
      </w:r>
      <w:r>
        <w:rPr>
          <w:rFonts w:hint="default" w:ascii="Times New Roman" w:hAnsi="Times New Roman" w:eastAsia="微软雅黑" w:cs="Times New Roman"/>
          <w:i w:val="0"/>
          <w:iCs w:val="0"/>
          <w:caps w:val="0"/>
          <w:color w:val="333333"/>
          <w:spacing w:val="0"/>
          <w:sz w:val="31"/>
          <w:szCs w:val="31"/>
          <w:shd w:val="clear" w:fill="FFFFFF"/>
        </w:rPr>
        <w:t>90</w:t>
      </w:r>
      <w:r>
        <w:rPr>
          <w:rFonts w:hint="eastAsia" w:ascii="方正仿宋_GBK" w:hAnsi="方正仿宋_GBK" w:eastAsia="方正仿宋_GBK" w:cs="方正仿宋_GBK"/>
          <w:i w:val="0"/>
          <w:iCs w:val="0"/>
          <w:caps w:val="0"/>
          <w:color w:val="333333"/>
          <w:spacing w:val="0"/>
          <w:sz w:val="31"/>
          <w:szCs w:val="31"/>
          <w:shd w:val="clear" w:fill="FFFFFF"/>
        </w:rPr>
        <w:t>台，新建殡仪服务站</w:t>
      </w:r>
      <w:r>
        <w:rPr>
          <w:rFonts w:hint="default" w:ascii="Times New Roman" w:hAnsi="Times New Roman" w:eastAsia="微软雅黑" w:cs="Times New Roman"/>
          <w:i w:val="0"/>
          <w:iCs w:val="0"/>
          <w:caps w:val="0"/>
          <w:color w:val="333333"/>
          <w:spacing w:val="0"/>
          <w:sz w:val="31"/>
          <w:szCs w:val="31"/>
          <w:shd w:val="clear" w:fill="FFFFFF"/>
        </w:rPr>
        <w:t>117</w:t>
      </w:r>
      <w:r>
        <w:rPr>
          <w:rFonts w:hint="eastAsia" w:ascii="方正仿宋_GBK" w:hAnsi="方正仿宋_GBK" w:eastAsia="方正仿宋_GBK" w:cs="方正仿宋_GBK"/>
          <w:i w:val="0"/>
          <w:iCs w:val="0"/>
          <w:caps w:val="0"/>
          <w:color w:val="333333"/>
          <w:spacing w:val="0"/>
          <w:sz w:val="31"/>
          <w:szCs w:val="31"/>
          <w:shd w:val="clear" w:fill="FFFFFF"/>
        </w:rPr>
        <w:t>个，城市公益性公墓</w:t>
      </w:r>
      <w:r>
        <w:rPr>
          <w:rFonts w:hint="default" w:ascii="Times New Roman" w:hAnsi="Times New Roman" w:eastAsia="微软雅黑" w:cs="Times New Roman"/>
          <w:i w:val="0"/>
          <w:iCs w:val="0"/>
          <w:caps w:val="0"/>
          <w:color w:val="333333"/>
          <w:spacing w:val="0"/>
          <w:sz w:val="31"/>
          <w:szCs w:val="31"/>
          <w:shd w:val="clear" w:fill="FFFFFF"/>
        </w:rPr>
        <w:t>21</w:t>
      </w:r>
      <w:r>
        <w:rPr>
          <w:rFonts w:hint="eastAsia" w:ascii="方正仿宋_GBK" w:hAnsi="方正仿宋_GBK" w:eastAsia="方正仿宋_GBK" w:cs="方正仿宋_GBK"/>
          <w:i w:val="0"/>
          <w:iCs w:val="0"/>
          <w:caps w:val="0"/>
          <w:color w:val="333333"/>
          <w:spacing w:val="0"/>
          <w:sz w:val="31"/>
          <w:szCs w:val="31"/>
          <w:shd w:val="clear" w:fill="FFFFFF"/>
        </w:rPr>
        <w:t>个，乡镇村公益性公墓</w:t>
      </w:r>
      <w:r>
        <w:rPr>
          <w:rFonts w:hint="default" w:ascii="Times New Roman" w:hAnsi="Times New Roman" w:eastAsia="微软雅黑" w:cs="Times New Roman"/>
          <w:i w:val="0"/>
          <w:iCs w:val="0"/>
          <w:caps w:val="0"/>
          <w:color w:val="333333"/>
          <w:spacing w:val="0"/>
          <w:sz w:val="31"/>
          <w:szCs w:val="31"/>
          <w:shd w:val="clear" w:fill="FFFFFF"/>
        </w:rPr>
        <w:t>124</w:t>
      </w:r>
      <w:r>
        <w:rPr>
          <w:rFonts w:hint="eastAsia" w:ascii="方正仿宋_GBK" w:hAnsi="方正仿宋_GBK" w:eastAsia="方正仿宋_GBK" w:cs="方正仿宋_GBK"/>
          <w:i w:val="0"/>
          <w:iCs w:val="0"/>
          <w:caps w:val="0"/>
          <w:color w:val="333333"/>
          <w:spacing w:val="0"/>
          <w:sz w:val="31"/>
          <w:szCs w:val="31"/>
          <w:shd w:val="clear" w:fill="FFFFFF"/>
        </w:rPr>
        <w:t>个，除主城区外其他区县新建经营性公墓</w:t>
      </w:r>
      <w:r>
        <w:rPr>
          <w:rFonts w:hint="default" w:ascii="Times New Roman" w:hAnsi="Times New Roman" w:eastAsia="微软雅黑" w:cs="Times New Roman"/>
          <w:i w:val="0"/>
          <w:iCs w:val="0"/>
          <w:caps w:val="0"/>
          <w:color w:val="333333"/>
          <w:spacing w:val="0"/>
          <w:sz w:val="31"/>
          <w:szCs w:val="31"/>
          <w:shd w:val="clear" w:fill="FFFFFF"/>
        </w:rPr>
        <w:t>11</w:t>
      </w:r>
      <w:r>
        <w:rPr>
          <w:rFonts w:hint="eastAsia" w:ascii="方正仿宋_GBK" w:hAnsi="方正仿宋_GBK" w:eastAsia="方正仿宋_GBK" w:cs="方正仿宋_GBK"/>
          <w:i w:val="0"/>
          <w:iCs w:val="0"/>
          <w:caps w:val="0"/>
          <w:color w:val="333333"/>
          <w:spacing w:val="0"/>
          <w:sz w:val="31"/>
          <w:szCs w:val="31"/>
          <w:shd w:val="clear" w:fill="FFFFFF"/>
        </w:rPr>
        <w:t>个（见表一）。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0"/>
        <w:jc w:val="center"/>
        <w:rPr>
          <w:rFonts w:hint="eastAsia" w:ascii="微软雅黑" w:hAnsi="微软雅黑" w:eastAsia="微软雅黑" w:cs="微软雅黑"/>
          <w:i w:val="0"/>
          <w:iCs w:val="0"/>
          <w:caps w:val="0"/>
          <w:color w:val="333333"/>
          <w:spacing w:val="0"/>
          <w:sz w:val="24"/>
          <w:szCs w:val="24"/>
        </w:rPr>
      </w:pPr>
      <w:r>
        <w:rPr>
          <w:rStyle w:val="5"/>
          <w:rFonts w:hint="eastAsia" w:ascii="方正仿宋_GBK" w:hAnsi="方正仿宋_GBK" w:eastAsia="方正仿宋_GBK" w:cs="方正仿宋_GBK"/>
          <w:i w:val="0"/>
          <w:iCs w:val="0"/>
          <w:caps w:val="0"/>
          <w:color w:val="333333"/>
          <w:spacing w:val="0"/>
          <w:sz w:val="31"/>
          <w:szCs w:val="31"/>
          <w:shd w:val="clear" w:fill="FFFFFF"/>
        </w:rPr>
        <w:t>表一“十三五”重庆市殡葬事业发展主要指标</w:t>
      </w:r>
    </w:p>
    <w:tbl>
      <w:tblPr>
        <w:tblStyle w:val="3"/>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698"/>
        <w:gridCol w:w="1607"/>
        <w:gridCol w:w="1418"/>
        <w:gridCol w:w="1418"/>
        <w:gridCol w:w="2375"/>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0" w:hRule="atLeast"/>
          <w:jc w:val="center"/>
        </w:trPr>
        <w:tc>
          <w:tcPr>
            <w:tcW w:w="3495" w:type="dxa"/>
            <w:gridSpan w:val="2"/>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Style w:val="5"/>
                <w:rFonts w:hint="eastAsia" w:ascii="方正仿宋_GBK" w:hAnsi="方正仿宋_GBK" w:eastAsia="方正仿宋_GBK" w:cs="方正仿宋_GBK"/>
                <w:i w:val="0"/>
                <w:iCs w:val="0"/>
                <w:caps w:val="0"/>
                <w:color w:val="333333"/>
                <w:spacing w:val="0"/>
                <w:sz w:val="24"/>
                <w:szCs w:val="24"/>
              </w:rPr>
              <w:t>指标名称</w:t>
            </w:r>
          </w:p>
        </w:tc>
        <w:tc>
          <w:tcPr>
            <w:tcW w:w="3000"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Style w:val="5"/>
                <w:rFonts w:hint="eastAsia" w:ascii="方正仿宋_GBK" w:hAnsi="方正仿宋_GBK" w:eastAsia="方正仿宋_GBK" w:cs="方正仿宋_GBK"/>
                <w:i w:val="0"/>
                <w:iCs w:val="0"/>
                <w:caps w:val="0"/>
                <w:color w:val="333333"/>
                <w:spacing w:val="0"/>
                <w:sz w:val="24"/>
                <w:szCs w:val="24"/>
              </w:rPr>
              <w:t>目标值</w:t>
            </w:r>
          </w:p>
        </w:tc>
        <w:tc>
          <w:tcPr>
            <w:tcW w:w="256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Style w:val="5"/>
                <w:rFonts w:hint="eastAsia" w:ascii="方正仿宋_GBK" w:hAnsi="方正仿宋_GBK" w:eastAsia="方正仿宋_GBK" w:cs="方正仿宋_GBK"/>
                <w:i w:val="0"/>
                <w:iCs w:val="0"/>
                <w:caps w:val="0"/>
                <w:color w:val="333333"/>
                <w:spacing w:val="0"/>
                <w:sz w:val="24"/>
                <w:szCs w:val="24"/>
              </w:rPr>
              <w:t>指标属性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0" w:hRule="atLeast"/>
          <w:jc w:val="center"/>
        </w:trPr>
        <w:tc>
          <w:tcPr>
            <w:tcW w:w="3495" w:type="dxa"/>
            <w:gridSpan w:val="2"/>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333333"/>
                <w:spacing w:val="0"/>
                <w:sz w:val="24"/>
                <w:szCs w:val="24"/>
              </w:rPr>
            </w:pPr>
          </w:p>
        </w:tc>
        <w:tc>
          <w:tcPr>
            <w:tcW w:w="150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Style w:val="5"/>
                <w:rFonts w:hint="default" w:ascii="Times New Roman" w:hAnsi="Times New Roman" w:eastAsia="微软雅黑" w:cs="Times New Roman"/>
                <w:i w:val="0"/>
                <w:iCs w:val="0"/>
                <w:caps w:val="0"/>
                <w:color w:val="333333"/>
                <w:spacing w:val="0"/>
                <w:sz w:val="24"/>
                <w:szCs w:val="24"/>
              </w:rPr>
              <w:t>2015</w:t>
            </w:r>
            <w:r>
              <w:rPr>
                <w:rStyle w:val="5"/>
                <w:rFonts w:hint="eastAsia" w:ascii="方正仿宋_GBK" w:hAnsi="方正仿宋_GBK" w:eastAsia="方正仿宋_GBK" w:cs="方正仿宋_GBK"/>
                <w:i w:val="0"/>
                <w:iCs w:val="0"/>
                <w:caps w:val="0"/>
                <w:color w:val="333333"/>
                <w:spacing w:val="0"/>
                <w:sz w:val="24"/>
                <w:szCs w:val="24"/>
              </w:rPr>
              <w:t>年</w:t>
            </w:r>
          </w:p>
        </w:tc>
        <w:tc>
          <w:tcPr>
            <w:tcW w:w="150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Style w:val="5"/>
                <w:rFonts w:hint="default" w:ascii="Times New Roman" w:hAnsi="Times New Roman" w:eastAsia="微软雅黑" w:cs="Times New Roman"/>
                <w:i w:val="0"/>
                <w:iCs w:val="0"/>
                <w:caps w:val="0"/>
                <w:color w:val="333333"/>
                <w:spacing w:val="0"/>
                <w:sz w:val="24"/>
                <w:szCs w:val="24"/>
              </w:rPr>
              <w:t>2020</w:t>
            </w:r>
            <w:r>
              <w:rPr>
                <w:rStyle w:val="5"/>
                <w:rFonts w:hint="eastAsia" w:ascii="方正仿宋_GBK" w:hAnsi="方正仿宋_GBK" w:eastAsia="方正仿宋_GBK" w:cs="方正仿宋_GBK"/>
                <w:i w:val="0"/>
                <w:iCs w:val="0"/>
                <w:caps w:val="0"/>
                <w:color w:val="333333"/>
                <w:spacing w:val="0"/>
                <w:sz w:val="24"/>
                <w:szCs w:val="24"/>
              </w:rPr>
              <w:t>年</w:t>
            </w:r>
          </w:p>
        </w:tc>
        <w:tc>
          <w:tcPr>
            <w:tcW w:w="256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Style w:val="5"/>
                <w:rFonts w:hint="eastAsia" w:ascii="方正仿宋_GBK" w:hAnsi="方正仿宋_GBK" w:eastAsia="方正仿宋_GBK" w:cs="方正仿宋_GBK"/>
                <w:i w:val="0"/>
                <w:iCs w:val="0"/>
                <w:caps w:val="0"/>
                <w:color w:val="333333"/>
                <w:spacing w:val="0"/>
                <w:sz w:val="24"/>
                <w:szCs w:val="24"/>
              </w:rPr>
              <w:t>（预期性或约束性）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90" w:hRule="atLeast"/>
          <w:jc w:val="center"/>
        </w:trPr>
        <w:tc>
          <w:tcPr>
            <w:tcW w:w="3495"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r>
              <w:rPr>
                <w:rFonts w:hint="eastAsia" w:ascii="方正仿宋_GBK" w:hAnsi="方正仿宋_GBK" w:eastAsia="方正仿宋_GBK" w:cs="方正仿宋_GBK"/>
                <w:i w:val="0"/>
                <w:iCs w:val="0"/>
                <w:caps w:val="0"/>
                <w:color w:val="333333"/>
                <w:spacing w:val="0"/>
                <w:sz w:val="24"/>
                <w:szCs w:val="24"/>
              </w:rPr>
              <w:t>．火化率（</w:t>
            </w:r>
            <w:r>
              <w:rPr>
                <w:rFonts w:hint="default" w:ascii="Times New Roman" w:hAnsi="Times New Roman" w:eastAsia="微软雅黑" w:cs="Times New Roman"/>
                <w:i w:val="0"/>
                <w:iCs w:val="0"/>
                <w:caps w:val="0"/>
                <w:color w:val="333333"/>
                <w:spacing w:val="0"/>
                <w:sz w:val="24"/>
                <w:szCs w:val="24"/>
              </w:rPr>
              <w:t>%</w:t>
            </w:r>
            <w:r>
              <w:rPr>
                <w:rFonts w:hint="eastAsia" w:ascii="方正仿宋_GBK" w:hAnsi="方正仿宋_GBK" w:eastAsia="方正仿宋_GBK" w:cs="方正仿宋_GBK"/>
                <w:i w:val="0"/>
                <w:iCs w:val="0"/>
                <w:caps w:val="0"/>
                <w:color w:val="333333"/>
                <w:spacing w:val="0"/>
                <w:sz w:val="24"/>
                <w:szCs w:val="24"/>
              </w:rPr>
              <w:t>）</w:t>
            </w:r>
          </w:p>
        </w:tc>
        <w:tc>
          <w:tcPr>
            <w:tcW w:w="150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45</w:t>
            </w:r>
          </w:p>
        </w:tc>
        <w:tc>
          <w:tcPr>
            <w:tcW w:w="150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50</w:t>
            </w:r>
          </w:p>
        </w:tc>
        <w:tc>
          <w:tcPr>
            <w:tcW w:w="25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约束性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90" w:hRule="atLeast"/>
          <w:jc w:val="center"/>
        </w:trPr>
        <w:tc>
          <w:tcPr>
            <w:tcW w:w="178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2</w:t>
            </w:r>
            <w:r>
              <w:rPr>
                <w:rFonts w:hint="eastAsia" w:ascii="方正仿宋_GBK" w:hAnsi="方正仿宋_GBK" w:eastAsia="方正仿宋_GBK" w:cs="方正仿宋_GBK"/>
                <w:i w:val="0"/>
                <w:iCs w:val="0"/>
                <w:caps w:val="0"/>
                <w:color w:val="333333"/>
                <w:spacing w:val="0"/>
                <w:sz w:val="24"/>
                <w:szCs w:val="24"/>
              </w:rPr>
              <w:t>．城镇集中治丧率（</w:t>
            </w:r>
            <w:r>
              <w:rPr>
                <w:rFonts w:hint="default" w:ascii="Times New Roman" w:hAnsi="Times New Roman" w:eastAsia="微软雅黑" w:cs="Times New Roman"/>
                <w:i w:val="0"/>
                <w:iCs w:val="0"/>
                <w:caps w:val="0"/>
                <w:color w:val="333333"/>
                <w:spacing w:val="0"/>
                <w:sz w:val="24"/>
                <w:szCs w:val="24"/>
              </w:rPr>
              <w:t>%</w:t>
            </w:r>
            <w:r>
              <w:rPr>
                <w:rFonts w:hint="eastAsia" w:ascii="方正仿宋_GBK" w:hAnsi="方正仿宋_GBK" w:eastAsia="方正仿宋_GBK" w:cs="方正仿宋_GBK"/>
                <w:i w:val="0"/>
                <w:iCs w:val="0"/>
                <w:caps w:val="0"/>
                <w:color w:val="333333"/>
                <w:spacing w:val="0"/>
                <w:sz w:val="24"/>
                <w:szCs w:val="24"/>
              </w:rPr>
              <w:t>）</w:t>
            </w:r>
          </w:p>
        </w:tc>
        <w:tc>
          <w:tcPr>
            <w:tcW w:w="17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主城区</w:t>
            </w:r>
          </w:p>
        </w:tc>
        <w:tc>
          <w:tcPr>
            <w:tcW w:w="150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50</w:t>
            </w:r>
          </w:p>
        </w:tc>
        <w:tc>
          <w:tcPr>
            <w:tcW w:w="150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65</w:t>
            </w:r>
          </w:p>
        </w:tc>
        <w:tc>
          <w:tcPr>
            <w:tcW w:w="2565" w:type="dxa"/>
            <w:vMerge w:val="restar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预期性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80" w:hRule="atLeast"/>
          <w:jc w:val="center"/>
        </w:trPr>
        <w:tc>
          <w:tcPr>
            <w:tcW w:w="178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333333"/>
                <w:spacing w:val="0"/>
                <w:sz w:val="24"/>
                <w:szCs w:val="24"/>
              </w:rPr>
            </w:pPr>
          </w:p>
        </w:tc>
        <w:tc>
          <w:tcPr>
            <w:tcW w:w="17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其他区县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（自治县）</w:t>
            </w:r>
          </w:p>
        </w:tc>
        <w:tc>
          <w:tcPr>
            <w:tcW w:w="150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30</w:t>
            </w:r>
          </w:p>
        </w:tc>
        <w:tc>
          <w:tcPr>
            <w:tcW w:w="150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40</w:t>
            </w:r>
          </w:p>
        </w:tc>
        <w:tc>
          <w:tcPr>
            <w:tcW w:w="2565" w:type="dxa"/>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90" w:hRule="atLeast"/>
          <w:jc w:val="center"/>
        </w:trPr>
        <w:tc>
          <w:tcPr>
            <w:tcW w:w="17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4</w:t>
            </w:r>
            <w:r>
              <w:rPr>
                <w:rFonts w:hint="eastAsia" w:ascii="方正仿宋_GBK" w:hAnsi="方正仿宋_GBK" w:eastAsia="方正仿宋_GBK" w:cs="方正仿宋_GBK"/>
                <w:i w:val="0"/>
                <w:iCs w:val="0"/>
                <w:caps w:val="0"/>
                <w:color w:val="333333"/>
                <w:spacing w:val="0"/>
                <w:sz w:val="24"/>
                <w:szCs w:val="24"/>
              </w:rPr>
              <w:t>．节地生态葬比例（</w:t>
            </w:r>
            <w:r>
              <w:rPr>
                <w:rFonts w:hint="default" w:ascii="Times New Roman" w:hAnsi="Times New Roman" w:eastAsia="微软雅黑" w:cs="Times New Roman"/>
                <w:i w:val="0"/>
                <w:iCs w:val="0"/>
                <w:caps w:val="0"/>
                <w:color w:val="333333"/>
                <w:spacing w:val="0"/>
                <w:sz w:val="24"/>
                <w:szCs w:val="24"/>
              </w:rPr>
              <w:t>%</w:t>
            </w:r>
            <w:r>
              <w:rPr>
                <w:rFonts w:hint="eastAsia" w:ascii="方正仿宋_GBK" w:hAnsi="方正仿宋_GBK" w:eastAsia="方正仿宋_GBK" w:cs="方正仿宋_GBK"/>
                <w:i w:val="0"/>
                <w:iCs w:val="0"/>
                <w:caps w:val="0"/>
                <w:color w:val="333333"/>
                <w:spacing w:val="0"/>
                <w:sz w:val="24"/>
                <w:szCs w:val="24"/>
              </w:rPr>
              <w:t>）</w:t>
            </w:r>
          </w:p>
        </w:tc>
        <w:tc>
          <w:tcPr>
            <w:tcW w:w="17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全市</w:t>
            </w:r>
          </w:p>
        </w:tc>
        <w:tc>
          <w:tcPr>
            <w:tcW w:w="150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30</w:t>
            </w:r>
          </w:p>
        </w:tc>
        <w:tc>
          <w:tcPr>
            <w:tcW w:w="150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50</w:t>
            </w:r>
          </w:p>
        </w:tc>
        <w:tc>
          <w:tcPr>
            <w:tcW w:w="25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预期性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90" w:hRule="atLeast"/>
          <w:jc w:val="center"/>
        </w:trPr>
        <w:tc>
          <w:tcPr>
            <w:tcW w:w="178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5</w:t>
            </w:r>
            <w:r>
              <w:rPr>
                <w:rFonts w:hint="eastAsia" w:ascii="方正仿宋_GBK" w:hAnsi="方正仿宋_GBK" w:eastAsia="方正仿宋_GBK" w:cs="方正仿宋_GBK"/>
                <w:i w:val="0"/>
                <w:iCs w:val="0"/>
                <w:caps w:val="0"/>
                <w:color w:val="333333"/>
                <w:spacing w:val="0"/>
                <w:sz w:val="24"/>
                <w:szCs w:val="24"/>
              </w:rPr>
              <w:t>．公益性公墓建设数量（个）</w:t>
            </w:r>
          </w:p>
        </w:tc>
        <w:tc>
          <w:tcPr>
            <w:tcW w:w="17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市级</w:t>
            </w:r>
          </w:p>
        </w:tc>
        <w:tc>
          <w:tcPr>
            <w:tcW w:w="150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150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3</w:t>
            </w:r>
          </w:p>
        </w:tc>
        <w:tc>
          <w:tcPr>
            <w:tcW w:w="25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约束性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90" w:hRule="atLeast"/>
          <w:jc w:val="center"/>
        </w:trPr>
        <w:tc>
          <w:tcPr>
            <w:tcW w:w="178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333333"/>
                <w:spacing w:val="0"/>
                <w:sz w:val="24"/>
                <w:szCs w:val="24"/>
              </w:rPr>
            </w:pPr>
          </w:p>
        </w:tc>
        <w:tc>
          <w:tcPr>
            <w:tcW w:w="17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区县</w:t>
            </w:r>
          </w:p>
        </w:tc>
        <w:tc>
          <w:tcPr>
            <w:tcW w:w="150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18</w:t>
            </w:r>
          </w:p>
        </w:tc>
        <w:tc>
          <w:tcPr>
            <w:tcW w:w="150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37</w:t>
            </w:r>
          </w:p>
        </w:tc>
        <w:tc>
          <w:tcPr>
            <w:tcW w:w="25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约束性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90" w:hRule="atLeast"/>
          <w:jc w:val="center"/>
        </w:trPr>
        <w:tc>
          <w:tcPr>
            <w:tcW w:w="178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333333"/>
                <w:spacing w:val="0"/>
                <w:sz w:val="24"/>
                <w:szCs w:val="24"/>
              </w:rPr>
            </w:pPr>
          </w:p>
        </w:tc>
        <w:tc>
          <w:tcPr>
            <w:tcW w:w="17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乡、镇、村</w:t>
            </w:r>
          </w:p>
        </w:tc>
        <w:tc>
          <w:tcPr>
            <w:tcW w:w="150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168</w:t>
            </w:r>
          </w:p>
        </w:tc>
        <w:tc>
          <w:tcPr>
            <w:tcW w:w="150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292</w:t>
            </w:r>
          </w:p>
        </w:tc>
        <w:tc>
          <w:tcPr>
            <w:tcW w:w="25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约束性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90" w:hRule="atLeast"/>
          <w:jc w:val="center"/>
        </w:trPr>
        <w:tc>
          <w:tcPr>
            <w:tcW w:w="3495"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6</w:t>
            </w:r>
            <w:r>
              <w:rPr>
                <w:rFonts w:hint="eastAsia" w:ascii="方正仿宋_GBK" w:hAnsi="方正仿宋_GBK" w:eastAsia="方正仿宋_GBK" w:cs="方正仿宋_GBK"/>
                <w:i w:val="0"/>
                <w:iCs w:val="0"/>
                <w:caps w:val="0"/>
                <w:color w:val="333333"/>
                <w:spacing w:val="0"/>
                <w:sz w:val="24"/>
                <w:szCs w:val="24"/>
              </w:rPr>
              <w:t>．火葬殡仪馆数量（个）</w:t>
            </w:r>
          </w:p>
        </w:tc>
        <w:tc>
          <w:tcPr>
            <w:tcW w:w="150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33</w:t>
            </w:r>
          </w:p>
        </w:tc>
        <w:tc>
          <w:tcPr>
            <w:tcW w:w="150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39</w:t>
            </w:r>
          </w:p>
        </w:tc>
        <w:tc>
          <w:tcPr>
            <w:tcW w:w="25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约束性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90" w:hRule="atLeast"/>
          <w:jc w:val="center"/>
        </w:trPr>
        <w:tc>
          <w:tcPr>
            <w:tcW w:w="178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7</w:t>
            </w:r>
            <w:r>
              <w:rPr>
                <w:rFonts w:hint="eastAsia" w:ascii="方正仿宋_GBK" w:hAnsi="方正仿宋_GBK" w:eastAsia="方正仿宋_GBK" w:cs="方正仿宋_GBK"/>
                <w:i w:val="0"/>
                <w:iCs w:val="0"/>
                <w:caps w:val="0"/>
                <w:color w:val="333333"/>
                <w:spacing w:val="0"/>
                <w:sz w:val="24"/>
                <w:szCs w:val="24"/>
              </w:rPr>
              <w:t>．殡仪服务站（个）</w:t>
            </w:r>
          </w:p>
        </w:tc>
        <w:tc>
          <w:tcPr>
            <w:tcW w:w="17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主城区</w:t>
            </w:r>
          </w:p>
        </w:tc>
        <w:tc>
          <w:tcPr>
            <w:tcW w:w="150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20</w:t>
            </w:r>
          </w:p>
        </w:tc>
        <w:tc>
          <w:tcPr>
            <w:tcW w:w="150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47</w:t>
            </w:r>
          </w:p>
        </w:tc>
        <w:tc>
          <w:tcPr>
            <w:tcW w:w="2565" w:type="dxa"/>
            <w:vMerge w:val="restar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预期性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80" w:hRule="atLeast"/>
          <w:jc w:val="center"/>
        </w:trPr>
        <w:tc>
          <w:tcPr>
            <w:tcW w:w="178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333333"/>
                <w:spacing w:val="0"/>
                <w:sz w:val="24"/>
                <w:szCs w:val="24"/>
              </w:rPr>
            </w:pPr>
          </w:p>
        </w:tc>
        <w:tc>
          <w:tcPr>
            <w:tcW w:w="17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其他区县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（自治县）</w:t>
            </w:r>
          </w:p>
        </w:tc>
        <w:tc>
          <w:tcPr>
            <w:tcW w:w="150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36</w:t>
            </w:r>
          </w:p>
        </w:tc>
        <w:tc>
          <w:tcPr>
            <w:tcW w:w="150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126</w:t>
            </w:r>
          </w:p>
        </w:tc>
        <w:tc>
          <w:tcPr>
            <w:tcW w:w="2565" w:type="dxa"/>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365" w:hRule="atLeast"/>
          <w:jc w:val="center"/>
        </w:trPr>
        <w:tc>
          <w:tcPr>
            <w:tcW w:w="9060" w:type="dxa"/>
            <w:gridSpan w:val="5"/>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300"/>
            </w:pPr>
            <w:r>
              <w:rPr>
                <w:rFonts w:hint="eastAsia" w:ascii="方正仿宋_GBK" w:hAnsi="方正仿宋_GBK" w:eastAsia="方正仿宋_GBK" w:cs="方正仿宋_GBK"/>
                <w:i w:val="0"/>
                <w:iCs w:val="0"/>
                <w:caps w:val="0"/>
                <w:color w:val="333333"/>
                <w:spacing w:val="0"/>
                <w:sz w:val="24"/>
                <w:szCs w:val="24"/>
              </w:rPr>
              <w:t>注：预期性指标是政府通过综合运用各种经济杠杆和政策引导社会资源配置，努力争取实现的目标。约束性指标是政府合理配置公共资源和有效利用行政力量，确保实现的目标。</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shd w:val="clear" w:fill="FFFFFF"/>
        </w:rPr>
        <w:t>三、主要任务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楷体_GBK" w:hAnsi="方正楷体_GBK" w:eastAsia="方正楷体_GBK" w:cs="方正楷体_GBK"/>
          <w:i w:val="0"/>
          <w:iCs w:val="0"/>
          <w:caps w:val="0"/>
          <w:color w:val="333333"/>
          <w:spacing w:val="0"/>
          <w:sz w:val="31"/>
          <w:szCs w:val="31"/>
          <w:shd w:val="clear" w:fill="FFFFFF"/>
        </w:rPr>
        <w:t>（一）因地制宜协同推进殡葬改革。</w:t>
      </w:r>
      <w:r>
        <w:rPr>
          <w:rFonts w:hint="eastAsia" w:ascii="方正仿宋_GBK" w:hAnsi="方正仿宋_GBK" w:eastAsia="方正仿宋_GBK" w:cs="方正仿宋_GBK"/>
          <w:i w:val="0"/>
          <w:iCs w:val="0"/>
          <w:caps w:val="0"/>
          <w:color w:val="333333"/>
          <w:spacing w:val="0"/>
          <w:sz w:val="31"/>
          <w:szCs w:val="31"/>
          <w:shd w:val="clear" w:fill="FFFFFF"/>
        </w:rPr>
        <w:t>一是科学划分火葬区，切实提高火化率。各区县要根据人口密度、交通状况、生态条件、设施配置和群众接受程度，科学划分火葬区和土葬改革区，并根据区域经济发展和城市化进程等客观变化，及时调整。火葬区，遗体必须实行火葬，在土葬改革区内，应积极引导群众对死亡人员实行火化，及时划定火葬区，推行火葬。已建成火葬殡仪馆的，应逐步缩小土葬改革区。二是推行生态安葬，规范安葬行为。在火葬区，骨灰应当在公墓安葬或殡葬服务单位安放。在土葬改革区，遗体应当在公墓或集中安葬点安葬。各地应结合实际，研究制定节地生态安葬标准，严格控制墓穴式安葬公墓的数量和占地面积，积极推广骨灰存放、壁葬、树葬、花葬、散撒及遗体深埋不留坟头等节地生态葬法，不断提高生态安葬比例，降低资源消费，倡导遗体捐献和不保留骨灰。三是实施文明治丧，提升城市形象。在火葬区，必须在殡仪馆、殡仪服务站开展治丧活动，在土葬改革区，区县政府所在地的街、镇均为文明治丧示范区，应推行文明治丧，禁止乱搭灵棚、噪声扰民。大力引导群众文明治丧、低碳祭扫，制止重殓厚葬、大操大办、愚昧低俗、污染环境等行为。殡葬服务单位要自觉履行引导群众文明节俭治丧的社会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楷体_GBK" w:hAnsi="方正楷体_GBK" w:eastAsia="方正楷体_GBK" w:cs="方正楷体_GBK"/>
          <w:i w:val="0"/>
          <w:iCs w:val="0"/>
          <w:caps w:val="0"/>
          <w:color w:val="333333"/>
          <w:spacing w:val="0"/>
          <w:sz w:val="31"/>
          <w:szCs w:val="31"/>
          <w:shd w:val="clear" w:fill="FFFFFF"/>
        </w:rPr>
        <w:t>（二）加快健全完善殡葬服务设施。</w:t>
      </w:r>
      <w:r>
        <w:rPr>
          <w:rFonts w:hint="eastAsia" w:ascii="方正仿宋_GBK" w:hAnsi="方正仿宋_GBK" w:eastAsia="方正仿宋_GBK" w:cs="方正仿宋_GBK"/>
          <w:i w:val="0"/>
          <w:iCs w:val="0"/>
          <w:caps w:val="0"/>
          <w:color w:val="333333"/>
          <w:spacing w:val="0"/>
          <w:sz w:val="31"/>
          <w:szCs w:val="31"/>
          <w:shd w:val="clear" w:fill="FFFFFF"/>
        </w:rPr>
        <w:t>加快殡葬服务设施建设，构建基本殡葬服务体系是“十三五”期间的重要任务。主城各区要认真实施《主城区社会福利和殡葬设施布局规划（</w:t>
      </w:r>
      <w:r>
        <w:rPr>
          <w:rFonts w:hint="default" w:ascii="Times New Roman" w:hAnsi="Times New Roman" w:eastAsia="微软雅黑" w:cs="Times New Roman"/>
          <w:i w:val="0"/>
          <w:iCs w:val="0"/>
          <w:caps w:val="0"/>
          <w:color w:val="333333"/>
          <w:spacing w:val="0"/>
          <w:sz w:val="31"/>
          <w:szCs w:val="31"/>
          <w:shd w:val="clear" w:fill="FFFFFF"/>
        </w:rPr>
        <w:t>2015</w:t>
      </w:r>
      <w:r>
        <w:rPr>
          <w:rFonts w:hint="eastAsia" w:ascii="方正仿宋_GBK" w:hAnsi="方正仿宋_GBK" w:eastAsia="方正仿宋_GBK" w:cs="方正仿宋_GBK"/>
          <w:i w:val="0"/>
          <w:iCs w:val="0"/>
          <w:caps w:val="0"/>
          <w:color w:val="333333"/>
          <w:spacing w:val="0"/>
          <w:sz w:val="31"/>
          <w:szCs w:val="31"/>
          <w:shd w:val="clear" w:fill="FFFFFF"/>
        </w:rPr>
        <w:t>—</w:t>
      </w:r>
      <w:r>
        <w:rPr>
          <w:rFonts w:hint="default" w:ascii="Times New Roman" w:hAnsi="Times New Roman" w:eastAsia="微软雅黑" w:cs="Times New Roman"/>
          <w:i w:val="0"/>
          <w:iCs w:val="0"/>
          <w:caps w:val="0"/>
          <w:color w:val="333333"/>
          <w:spacing w:val="0"/>
          <w:sz w:val="31"/>
          <w:szCs w:val="31"/>
          <w:shd w:val="clear" w:fill="FFFFFF"/>
        </w:rPr>
        <w:t>2020</w:t>
      </w:r>
      <w:r>
        <w:rPr>
          <w:rFonts w:hint="eastAsia" w:ascii="方正仿宋_GBK" w:hAnsi="方正仿宋_GBK" w:eastAsia="方正仿宋_GBK" w:cs="方正仿宋_GBK"/>
          <w:i w:val="0"/>
          <w:iCs w:val="0"/>
          <w:caps w:val="0"/>
          <w:color w:val="333333"/>
          <w:spacing w:val="0"/>
          <w:sz w:val="31"/>
          <w:szCs w:val="31"/>
          <w:shd w:val="clear" w:fill="FFFFFF"/>
        </w:rPr>
        <w:t>）》，其他各区县要按照本规划要求，结合实际，制定殡葬服务设施建设规划，合理布局，严格执行殡葬设施建设规范和配置标准，完善功能。一是加快火葬殡仪馆建设。新建大足、潼南、巫溪、石柱、酉阳、彭水</w:t>
      </w:r>
      <w:r>
        <w:rPr>
          <w:rFonts w:hint="default" w:ascii="Times New Roman" w:hAnsi="Times New Roman" w:eastAsia="微软雅黑" w:cs="Times New Roman"/>
          <w:i w:val="0"/>
          <w:iCs w:val="0"/>
          <w:caps w:val="0"/>
          <w:color w:val="333333"/>
          <w:spacing w:val="0"/>
          <w:sz w:val="31"/>
          <w:szCs w:val="31"/>
          <w:shd w:val="clear" w:fill="FFFFFF"/>
        </w:rPr>
        <w:t>6</w:t>
      </w:r>
      <w:r>
        <w:rPr>
          <w:rFonts w:hint="eastAsia" w:ascii="方正仿宋_GBK" w:hAnsi="方正仿宋_GBK" w:eastAsia="方正仿宋_GBK" w:cs="方正仿宋_GBK"/>
          <w:i w:val="0"/>
          <w:iCs w:val="0"/>
          <w:caps w:val="0"/>
          <w:color w:val="333333"/>
          <w:spacing w:val="0"/>
          <w:sz w:val="31"/>
          <w:szCs w:val="31"/>
          <w:shd w:val="clear" w:fill="FFFFFF"/>
        </w:rPr>
        <w:t>个区县火葬殡仪馆；指导城口县通过原址改建殡仪馆增添火葬设施；督促荣昌区尽快恢复火葬殡仪馆功能；在建火葬殡仪馆要抓紧建设，尽快完工并投入使用，确保除主城区外的每个区县至少有一个符合国家标准的火葬殡仪馆。已有火葬殡仪馆的区县要对陈旧落后、污染超标的火化炉、冷藏棺柜、殡仪专用车等设施进行更新改造（见表二）。二是加快殡仪服务站建设。主城各区原则上按照每</w:t>
      </w:r>
      <w:r>
        <w:rPr>
          <w:rFonts w:hint="default" w:ascii="Times New Roman" w:hAnsi="Times New Roman" w:eastAsia="微软雅黑" w:cs="Times New Roman"/>
          <w:i w:val="0"/>
          <w:iCs w:val="0"/>
          <w:caps w:val="0"/>
          <w:color w:val="333333"/>
          <w:spacing w:val="0"/>
          <w:sz w:val="31"/>
          <w:szCs w:val="31"/>
          <w:shd w:val="clear" w:fill="FFFFFF"/>
        </w:rPr>
        <w:t>30</w:t>
      </w:r>
      <w:r>
        <w:rPr>
          <w:rFonts w:hint="eastAsia" w:ascii="方正仿宋_GBK" w:hAnsi="方正仿宋_GBK" w:eastAsia="方正仿宋_GBK" w:cs="方正仿宋_GBK"/>
          <w:i w:val="0"/>
          <w:iCs w:val="0"/>
          <w:caps w:val="0"/>
          <w:color w:val="333333"/>
          <w:spacing w:val="0"/>
          <w:sz w:val="31"/>
          <w:szCs w:val="31"/>
          <w:shd w:val="clear" w:fill="FFFFFF"/>
        </w:rPr>
        <w:t>万人口、其它区县城区按照每</w:t>
      </w:r>
      <w:r>
        <w:rPr>
          <w:rFonts w:hint="default" w:ascii="Times New Roman" w:hAnsi="Times New Roman" w:eastAsia="微软雅黑" w:cs="Times New Roman"/>
          <w:i w:val="0"/>
          <w:iCs w:val="0"/>
          <w:caps w:val="0"/>
          <w:color w:val="333333"/>
          <w:spacing w:val="0"/>
          <w:sz w:val="31"/>
          <w:szCs w:val="31"/>
          <w:shd w:val="clear" w:fill="FFFFFF"/>
        </w:rPr>
        <w:t>15</w:t>
      </w:r>
      <w:r>
        <w:rPr>
          <w:rFonts w:hint="eastAsia" w:ascii="方正仿宋_GBK" w:hAnsi="方正仿宋_GBK" w:eastAsia="方正仿宋_GBK" w:cs="方正仿宋_GBK"/>
          <w:i w:val="0"/>
          <w:iCs w:val="0"/>
          <w:caps w:val="0"/>
          <w:color w:val="333333"/>
          <w:spacing w:val="0"/>
          <w:sz w:val="31"/>
          <w:szCs w:val="31"/>
          <w:shd w:val="clear" w:fill="FFFFFF"/>
        </w:rPr>
        <w:t>万人口的标准，进行规划布局，建设一处规范化的殡仪服务站；人口稠密和交通方便的乡镇也应当规划建设殡仪服务站，推动文明治丧，满足群众治丧的需求（见表二）。殡仪服务站新建、改建、扩建和迁建工程项目的建设要严格按照重庆市地方标准《殡仪服务站建设规范》执行。三是加快公益性公墓建设。加快推进市、区县、乡镇城市公益性公墓和农村公益性公墓建设，鼓励乡镇、村建设公益性骨灰堂和集中安葬点。公益性公墓新建、改建、扩建和迁建工程项目的建设要严格按照重庆市地方标准《公益性公墓建设规范》执行。到</w:t>
      </w:r>
      <w:r>
        <w:rPr>
          <w:rFonts w:hint="default" w:ascii="Times New Roman" w:hAnsi="Times New Roman" w:eastAsia="微软雅黑" w:cs="Times New Roman"/>
          <w:i w:val="0"/>
          <w:iCs w:val="0"/>
          <w:caps w:val="0"/>
          <w:color w:val="333333"/>
          <w:spacing w:val="0"/>
          <w:sz w:val="31"/>
          <w:szCs w:val="31"/>
          <w:shd w:val="clear" w:fill="FFFFFF"/>
        </w:rPr>
        <w:t>2020</w:t>
      </w:r>
      <w:r>
        <w:rPr>
          <w:rFonts w:hint="eastAsia" w:ascii="方正仿宋_GBK" w:hAnsi="方正仿宋_GBK" w:eastAsia="方正仿宋_GBK" w:cs="方正仿宋_GBK"/>
          <w:i w:val="0"/>
          <w:iCs w:val="0"/>
          <w:caps w:val="0"/>
          <w:color w:val="333333"/>
          <w:spacing w:val="0"/>
          <w:sz w:val="31"/>
          <w:szCs w:val="31"/>
          <w:shd w:val="clear" w:fill="FFFFFF"/>
        </w:rPr>
        <w:t>年基本形成较为健全的市、区县、乡镇、村四级公益性安葬服务设施网络。“十三五”期间，新建城市公益性公墓</w:t>
      </w:r>
      <w:r>
        <w:rPr>
          <w:rFonts w:hint="default" w:ascii="Times New Roman" w:hAnsi="Times New Roman" w:eastAsia="微软雅黑" w:cs="Times New Roman"/>
          <w:i w:val="0"/>
          <w:iCs w:val="0"/>
          <w:caps w:val="0"/>
          <w:color w:val="333333"/>
          <w:spacing w:val="0"/>
          <w:sz w:val="31"/>
          <w:szCs w:val="31"/>
          <w:shd w:val="clear" w:fill="FFFFFF"/>
        </w:rPr>
        <w:t>21</w:t>
      </w:r>
      <w:r>
        <w:rPr>
          <w:rFonts w:hint="eastAsia" w:ascii="方正仿宋_GBK" w:hAnsi="方正仿宋_GBK" w:eastAsia="方正仿宋_GBK" w:cs="方正仿宋_GBK"/>
          <w:i w:val="0"/>
          <w:iCs w:val="0"/>
          <w:caps w:val="0"/>
          <w:color w:val="333333"/>
          <w:spacing w:val="0"/>
          <w:sz w:val="31"/>
          <w:szCs w:val="31"/>
          <w:shd w:val="clear" w:fill="FFFFFF"/>
        </w:rPr>
        <w:t>个，乡镇、村公益性公墓</w:t>
      </w:r>
      <w:r>
        <w:rPr>
          <w:rFonts w:hint="default" w:ascii="Times New Roman" w:hAnsi="Times New Roman" w:eastAsia="微软雅黑" w:cs="Times New Roman"/>
          <w:i w:val="0"/>
          <w:iCs w:val="0"/>
          <w:caps w:val="0"/>
          <w:color w:val="333333"/>
          <w:spacing w:val="0"/>
          <w:sz w:val="31"/>
          <w:szCs w:val="31"/>
          <w:shd w:val="clear" w:fill="FFFFFF"/>
        </w:rPr>
        <w:t>124</w:t>
      </w:r>
      <w:r>
        <w:rPr>
          <w:rFonts w:hint="eastAsia" w:ascii="方正仿宋_GBK" w:hAnsi="方正仿宋_GBK" w:eastAsia="方正仿宋_GBK" w:cs="方正仿宋_GBK"/>
          <w:i w:val="0"/>
          <w:iCs w:val="0"/>
          <w:caps w:val="0"/>
          <w:color w:val="333333"/>
          <w:spacing w:val="0"/>
          <w:sz w:val="31"/>
          <w:szCs w:val="31"/>
          <w:shd w:val="clear" w:fill="FFFFFF"/>
        </w:rPr>
        <w:t>个（见表三）。四是有控制地发展经营性公墓。根据城市化进程和长远发展，兼顾人民群众多元化的安葬需求，合理布局规模适度的经营性公墓，经营性公墓新建、改建、扩建和迁建工程项目的建设要严格按照重庆市地方标准《经营性公墓建设规范》执行。主城区严格控制经营性公墓发展，按照《主城区社会福利和殡葬设施布局规划（</w:t>
      </w:r>
      <w:r>
        <w:rPr>
          <w:rFonts w:hint="default" w:ascii="Times New Roman" w:hAnsi="Times New Roman" w:eastAsia="微软雅黑" w:cs="Times New Roman"/>
          <w:i w:val="0"/>
          <w:iCs w:val="0"/>
          <w:caps w:val="0"/>
          <w:color w:val="333333"/>
          <w:spacing w:val="0"/>
          <w:sz w:val="31"/>
          <w:szCs w:val="31"/>
          <w:shd w:val="clear" w:fill="FFFFFF"/>
        </w:rPr>
        <w:t>2015-2020</w:t>
      </w:r>
      <w:r>
        <w:rPr>
          <w:rFonts w:hint="eastAsia" w:ascii="方正仿宋_GBK" w:hAnsi="方正仿宋_GBK" w:eastAsia="方正仿宋_GBK" w:cs="方正仿宋_GBK"/>
          <w:i w:val="0"/>
          <w:iCs w:val="0"/>
          <w:caps w:val="0"/>
          <w:color w:val="333333"/>
          <w:spacing w:val="0"/>
          <w:sz w:val="31"/>
          <w:szCs w:val="31"/>
          <w:shd w:val="clear" w:fill="FFFFFF"/>
        </w:rPr>
        <w:t>）》审批新建、改（扩）、迁建经营性公墓；特殊情况经市政府同意也可批建。“十三五”期间，除主城区外其他区县新建经营性公墓</w:t>
      </w:r>
      <w:r>
        <w:rPr>
          <w:rFonts w:hint="default" w:ascii="Times New Roman" w:hAnsi="Times New Roman" w:eastAsia="微软雅黑" w:cs="Times New Roman"/>
          <w:i w:val="0"/>
          <w:iCs w:val="0"/>
          <w:caps w:val="0"/>
          <w:color w:val="333333"/>
          <w:spacing w:val="0"/>
          <w:sz w:val="31"/>
          <w:szCs w:val="31"/>
          <w:shd w:val="clear" w:fill="FFFFFF"/>
        </w:rPr>
        <w:t>11</w:t>
      </w:r>
      <w:r>
        <w:rPr>
          <w:rFonts w:hint="eastAsia" w:ascii="方正仿宋_GBK" w:hAnsi="方正仿宋_GBK" w:eastAsia="方正仿宋_GBK" w:cs="方正仿宋_GBK"/>
          <w:i w:val="0"/>
          <w:iCs w:val="0"/>
          <w:caps w:val="0"/>
          <w:color w:val="333333"/>
          <w:spacing w:val="0"/>
          <w:sz w:val="31"/>
          <w:szCs w:val="31"/>
          <w:shd w:val="clear" w:fill="FFFFFF"/>
        </w:rPr>
        <w:t>个，改扩建</w:t>
      </w:r>
      <w:r>
        <w:rPr>
          <w:rFonts w:hint="default" w:ascii="Times New Roman" w:hAnsi="Times New Roman" w:eastAsia="微软雅黑" w:cs="Times New Roman"/>
          <w:i w:val="0"/>
          <w:iCs w:val="0"/>
          <w:caps w:val="0"/>
          <w:color w:val="333333"/>
          <w:spacing w:val="0"/>
          <w:sz w:val="31"/>
          <w:szCs w:val="31"/>
          <w:shd w:val="clear" w:fill="FFFFFF"/>
        </w:rPr>
        <w:t>2</w:t>
      </w:r>
      <w:r>
        <w:rPr>
          <w:rFonts w:hint="eastAsia" w:ascii="方正仿宋_GBK" w:hAnsi="方正仿宋_GBK" w:eastAsia="方正仿宋_GBK" w:cs="方正仿宋_GBK"/>
          <w:i w:val="0"/>
          <w:iCs w:val="0"/>
          <w:caps w:val="0"/>
          <w:color w:val="333333"/>
          <w:spacing w:val="0"/>
          <w:sz w:val="31"/>
          <w:szCs w:val="31"/>
          <w:shd w:val="clear" w:fill="FFFFFF"/>
        </w:rPr>
        <w:t>个，迁建</w:t>
      </w:r>
      <w:r>
        <w:rPr>
          <w:rFonts w:hint="default" w:ascii="Times New Roman" w:hAnsi="Times New Roman" w:eastAsia="微软雅黑" w:cs="Times New Roman"/>
          <w:i w:val="0"/>
          <w:iCs w:val="0"/>
          <w:caps w:val="0"/>
          <w:color w:val="333333"/>
          <w:spacing w:val="0"/>
          <w:sz w:val="31"/>
          <w:szCs w:val="31"/>
          <w:shd w:val="clear" w:fill="FFFFFF"/>
        </w:rPr>
        <w:t>1</w:t>
      </w:r>
      <w:r>
        <w:rPr>
          <w:rFonts w:hint="eastAsia" w:ascii="方正仿宋_GBK" w:hAnsi="方正仿宋_GBK" w:eastAsia="方正仿宋_GBK" w:cs="方正仿宋_GBK"/>
          <w:i w:val="0"/>
          <w:iCs w:val="0"/>
          <w:caps w:val="0"/>
          <w:color w:val="333333"/>
          <w:spacing w:val="0"/>
          <w:sz w:val="31"/>
          <w:szCs w:val="31"/>
          <w:shd w:val="clear" w:fill="FFFFFF"/>
        </w:rPr>
        <w:t>个（见表三）。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0"/>
        <w:jc w:val="center"/>
        <w:rPr>
          <w:rFonts w:hint="eastAsia" w:ascii="微软雅黑" w:hAnsi="微软雅黑" w:eastAsia="微软雅黑" w:cs="微软雅黑"/>
          <w:i w:val="0"/>
          <w:iCs w:val="0"/>
          <w:caps w:val="0"/>
          <w:color w:val="333333"/>
          <w:spacing w:val="0"/>
          <w:sz w:val="24"/>
          <w:szCs w:val="24"/>
        </w:rPr>
      </w:pPr>
      <w:r>
        <w:rPr>
          <w:rStyle w:val="5"/>
          <w:rFonts w:hint="eastAsia" w:ascii="方正仿宋_GBK" w:hAnsi="方正仿宋_GBK" w:eastAsia="方正仿宋_GBK" w:cs="方正仿宋_GBK"/>
          <w:i w:val="0"/>
          <w:iCs w:val="0"/>
          <w:caps w:val="0"/>
          <w:color w:val="333333"/>
          <w:spacing w:val="0"/>
          <w:sz w:val="31"/>
          <w:szCs w:val="31"/>
          <w:shd w:val="clear" w:fill="FFFFFF"/>
        </w:rPr>
        <w:t>表二“十三五”重庆市殡仪馆、殡仪服务站设施建设规划表</w:t>
      </w:r>
    </w:p>
    <w:tbl>
      <w:tblPr>
        <w:tblStyle w:val="3"/>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688"/>
        <w:gridCol w:w="1574"/>
        <w:gridCol w:w="675"/>
        <w:gridCol w:w="983"/>
        <w:gridCol w:w="807"/>
        <w:gridCol w:w="1058"/>
        <w:gridCol w:w="940"/>
        <w:gridCol w:w="1115"/>
        <w:gridCol w:w="67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90" w:hRule="atLeast"/>
          <w:jc w:val="center"/>
        </w:trPr>
        <w:tc>
          <w:tcPr>
            <w:tcW w:w="720"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序号</w:t>
            </w:r>
          </w:p>
        </w:tc>
        <w:tc>
          <w:tcPr>
            <w:tcW w:w="1725" w:type="dxa"/>
            <w:vMerge w:val="restar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区县</w:t>
            </w:r>
          </w:p>
        </w:tc>
        <w:tc>
          <w:tcPr>
            <w:tcW w:w="3675" w:type="dxa"/>
            <w:gridSpan w:val="4"/>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火葬殡仪馆（个）</w:t>
            </w:r>
          </w:p>
        </w:tc>
        <w:tc>
          <w:tcPr>
            <w:tcW w:w="2835" w:type="dxa"/>
            <w:gridSpan w:val="3"/>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殡仪服务站（个）</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0" w:hRule="atLeast"/>
          <w:jc w:val="center"/>
        </w:trPr>
        <w:tc>
          <w:tcPr>
            <w:tcW w:w="720"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333333"/>
                <w:spacing w:val="0"/>
                <w:sz w:val="24"/>
                <w:szCs w:val="24"/>
              </w:rPr>
            </w:pPr>
          </w:p>
        </w:tc>
        <w:tc>
          <w:tcPr>
            <w:tcW w:w="1725" w:type="dxa"/>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新建</w:t>
            </w: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改（扩）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建</w:t>
            </w:r>
          </w:p>
        </w:tc>
        <w:tc>
          <w:tcPr>
            <w:tcW w:w="85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迁建</w:t>
            </w:r>
          </w:p>
        </w:tc>
        <w:tc>
          <w:tcPr>
            <w:tcW w:w="114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火化炉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改造</w:t>
            </w:r>
          </w:p>
        </w:tc>
        <w:tc>
          <w:tcPr>
            <w:tcW w:w="99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新建</w:t>
            </w:r>
          </w:p>
        </w:tc>
        <w:tc>
          <w:tcPr>
            <w:tcW w:w="114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改（扩）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建</w:t>
            </w:r>
          </w:p>
        </w:tc>
        <w:tc>
          <w:tcPr>
            <w:tcW w:w="70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迁建</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0" w:hRule="atLeast"/>
          <w:jc w:val="center"/>
        </w:trPr>
        <w:tc>
          <w:tcPr>
            <w:tcW w:w="72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7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市级</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6</w:t>
            </w: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0" w:hRule="atLeast"/>
          <w:jc w:val="center"/>
        </w:trPr>
        <w:tc>
          <w:tcPr>
            <w:tcW w:w="72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17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万州区</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13</w:t>
            </w: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4</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0" w:hRule="atLeast"/>
          <w:jc w:val="center"/>
        </w:trPr>
        <w:tc>
          <w:tcPr>
            <w:tcW w:w="72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2</w:t>
            </w:r>
          </w:p>
        </w:tc>
        <w:tc>
          <w:tcPr>
            <w:tcW w:w="17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黔江区</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0" w:hRule="atLeast"/>
          <w:jc w:val="center"/>
        </w:trPr>
        <w:tc>
          <w:tcPr>
            <w:tcW w:w="72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3</w:t>
            </w:r>
          </w:p>
        </w:tc>
        <w:tc>
          <w:tcPr>
            <w:tcW w:w="17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涪陵区</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0" w:hRule="atLeast"/>
          <w:jc w:val="center"/>
        </w:trPr>
        <w:tc>
          <w:tcPr>
            <w:tcW w:w="72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4</w:t>
            </w:r>
          </w:p>
        </w:tc>
        <w:tc>
          <w:tcPr>
            <w:tcW w:w="17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渝中区</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0" w:hRule="atLeast"/>
          <w:jc w:val="center"/>
        </w:trPr>
        <w:tc>
          <w:tcPr>
            <w:tcW w:w="72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5</w:t>
            </w:r>
          </w:p>
        </w:tc>
        <w:tc>
          <w:tcPr>
            <w:tcW w:w="17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大渡口区</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0" w:hRule="atLeast"/>
          <w:jc w:val="center"/>
        </w:trPr>
        <w:tc>
          <w:tcPr>
            <w:tcW w:w="72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6</w:t>
            </w:r>
          </w:p>
        </w:tc>
        <w:tc>
          <w:tcPr>
            <w:tcW w:w="17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江北区</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0" w:hRule="atLeast"/>
          <w:jc w:val="center"/>
        </w:trPr>
        <w:tc>
          <w:tcPr>
            <w:tcW w:w="72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7</w:t>
            </w:r>
          </w:p>
        </w:tc>
        <w:tc>
          <w:tcPr>
            <w:tcW w:w="17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沙坪坝区</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2</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0" w:hRule="atLeast"/>
          <w:jc w:val="center"/>
        </w:trPr>
        <w:tc>
          <w:tcPr>
            <w:tcW w:w="72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8</w:t>
            </w:r>
          </w:p>
        </w:tc>
        <w:tc>
          <w:tcPr>
            <w:tcW w:w="17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九龙坡区</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4</w:t>
            </w: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4</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0" w:hRule="atLeast"/>
          <w:jc w:val="center"/>
        </w:trPr>
        <w:tc>
          <w:tcPr>
            <w:tcW w:w="72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9</w:t>
            </w:r>
          </w:p>
        </w:tc>
        <w:tc>
          <w:tcPr>
            <w:tcW w:w="17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南岸区</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8</w:t>
            </w: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0" w:hRule="atLeast"/>
          <w:jc w:val="center"/>
        </w:trPr>
        <w:tc>
          <w:tcPr>
            <w:tcW w:w="72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10</w:t>
            </w:r>
          </w:p>
        </w:tc>
        <w:tc>
          <w:tcPr>
            <w:tcW w:w="17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北碚区</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9</w:t>
            </w: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6</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0" w:hRule="atLeast"/>
          <w:jc w:val="center"/>
        </w:trPr>
        <w:tc>
          <w:tcPr>
            <w:tcW w:w="72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11</w:t>
            </w:r>
          </w:p>
        </w:tc>
        <w:tc>
          <w:tcPr>
            <w:tcW w:w="17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渝北区</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4</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2</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0" w:hRule="atLeast"/>
          <w:jc w:val="center"/>
        </w:trPr>
        <w:tc>
          <w:tcPr>
            <w:tcW w:w="72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12</w:t>
            </w:r>
          </w:p>
        </w:tc>
        <w:tc>
          <w:tcPr>
            <w:tcW w:w="17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巴南区</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4</w:t>
            </w: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7</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0" w:hRule="atLeast"/>
          <w:jc w:val="center"/>
        </w:trPr>
        <w:tc>
          <w:tcPr>
            <w:tcW w:w="72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13</w:t>
            </w:r>
          </w:p>
        </w:tc>
        <w:tc>
          <w:tcPr>
            <w:tcW w:w="17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长寿区</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6</w:t>
            </w: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3</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0" w:hRule="atLeast"/>
          <w:jc w:val="center"/>
        </w:trPr>
        <w:tc>
          <w:tcPr>
            <w:tcW w:w="72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14</w:t>
            </w:r>
          </w:p>
        </w:tc>
        <w:tc>
          <w:tcPr>
            <w:tcW w:w="17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江津区</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2</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0" w:hRule="atLeast"/>
          <w:jc w:val="center"/>
        </w:trPr>
        <w:tc>
          <w:tcPr>
            <w:tcW w:w="72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15</w:t>
            </w:r>
          </w:p>
        </w:tc>
        <w:tc>
          <w:tcPr>
            <w:tcW w:w="17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合川区</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4</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0" w:hRule="atLeast"/>
          <w:jc w:val="center"/>
        </w:trPr>
        <w:tc>
          <w:tcPr>
            <w:tcW w:w="72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16</w:t>
            </w:r>
          </w:p>
        </w:tc>
        <w:tc>
          <w:tcPr>
            <w:tcW w:w="17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永川区</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4</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0" w:hRule="atLeast"/>
          <w:jc w:val="center"/>
        </w:trPr>
        <w:tc>
          <w:tcPr>
            <w:tcW w:w="72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17</w:t>
            </w:r>
          </w:p>
        </w:tc>
        <w:tc>
          <w:tcPr>
            <w:tcW w:w="17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南川区</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3</w:t>
            </w: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0" w:hRule="atLeast"/>
          <w:jc w:val="center"/>
        </w:trPr>
        <w:tc>
          <w:tcPr>
            <w:tcW w:w="72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18</w:t>
            </w:r>
          </w:p>
        </w:tc>
        <w:tc>
          <w:tcPr>
            <w:tcW w:w="17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綦江区</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2</w:t>
            </w: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0" w:hRule="atLeast"/>
          <w:jc w:val="center"/>
        </w:trPr>
        <w:tc>
          <w:tcPr>
            <w:tcW w:w="72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19</w:t>
            </w:r>
          </w:p>
        </w:tc>
        <w:tc>
          <w:tcPr>
            <w:tcW w:w="17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大足区</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3</w:t>
            </w: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2</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0" w:hRule="atLeast"/>
          <w:jc w:val="center"/>
        </w:trPr>
        <w:tc>
          <w:tcPr>
            <w:tcW w:w="72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20</w:t>
            </w:r>
          </w:p>
        </w:tc>
        <w:tc>
          <w:tcPr>
            <w:tcW w:w="17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璧山区</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4</w:t>
            </w: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2</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0" w:hRule="atLeast"/>
          <w:jc w:val="center"/>
        </w:trPr>
        <w:tc>
          <w:tcPr>
            <w:tcW w:w="72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21</w:t>
            </w:r>
          </w:p>
        </w:tc>
        <w:tc>
          <w:tcPr>
            <w:tcW w:w="17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铜梁区</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2</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0" w:hRule="atLeast"/>
          <w:jc w:val="center"/>
        </w:trPr>
        <w:tc>
          <w:tcPr>
            <w:tcW w:w="72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22</w:t>
            </w:r>
          </w:p>
        </w:tc>
        <w:tc>
          <w:tcPr>
            <w:tcW w:w="17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潼南区</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4</w:t>
            </w: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0" w:hRule="atLeast"/>
          <w:jc w:val="center"/>
        </w:trPr>
        <w:tc>
          <w:tcPr>
            <w:tcW w:w="72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23</w:t>
            </w:r>
          </w:p>
        </w:tc>
        <w:tc>
          <w:tcPr>
            <w:tcW w:w="17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荣昌区</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2</w:t>
            </w: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0" w:hRule="atLeast"/>
          <w:jc w:val="center"/>
        </w:trPr>
        <w:tc>
          <w:tcPr>
            <w:tcW w:w="72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24</w:t>
            </w:r>
          </w:p>
        </w:tc>
        <w:tc>
          <w:tcPr>
            <w:tcW w:w="17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开州区</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14</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0" w:hRule="atLeast"/>
          <w:jc w:val="center"/>
        </w:trPr>
        <w:tc>
          <w:tcPr>
            <w:tcW w:w="72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25</w:t>
            </w:r>
          </w:p>
        </w:tc>
        <w:tc>
          <w:tcPr>
            <w:tcW w:w="17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梁平区</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0" w:hRule="atLeast"/>
          <w:jc w:val="center"/>
        </w:trPr>
        <w:tc>
          <w:tcPr>
            <w:tcW w:w="72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26</w:t>
            </w:r>
          </w:p>
        </w:tc>
        <w:tc>
          <w:tcPr>
            <w:tcW w:w="17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武隆区</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3</w:t>
            </w: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5</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0" w:hRule="atLeast"/>
          <w:jc w:val="center"/>
        </w:trPr>
        <w:tc>
          <w:tcPr>
            <w:tcW w:w="72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27</w:t>
            </w:r>
          </w:p>
        </w:tc>
        <w:tc>
          <w:tcPr>
            <w:tcW w:w="17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城口县</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0" w:hRule="atLeast"/>
          <w:jc w:val="center"/>
        </w:trPr>
        <w:tc>
          <w:tcPr>
            <w:tcW w:w="72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28</w:t>
            </w:r>
          </w:p>
        </w:tc>
        <w:tc>
          <w:tcPr>
            <w:tcW w:w="17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丰都县</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2</w:t>
            </w: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10</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0" w:hRule="atLeast"/>
          <w:jc w:val="center"/>
        </w:trPr>
        <w:tc>
          <w:tcPr>
            <w:tcW w:w="72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29</w:t>
            </w:r>
          </w:p>
        </w:tc>
        <w:tc>
          <w:tcPr>
            <w:tcW w:w="17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垫江县</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2</w:t>
            </w: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0" w:hRule="atLeast"/>
          <w:jc w:val="center"/>
        </w:trPr>
        <w:tc>
          <w:tcPr>
            <w:tcW w:w="72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30</w:t>
            </w:r>
          </w:p>
        </w:tc>
        <w:tc>
          <w:tcPr>
            <w:tcW w:w="17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忠县</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5</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0" w:hRule="atLeast"/>
          <w:jc w:val="center"/>
        </w:trPr>
        <w:tc>
          <w:tcPr>
            <w:tcW w:w="72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31</w:t>
            </w:r>
          </w:p>
        </w:tc>
        <w:tc>
          <w:tcPr>
            <w:tcW w:w="17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云阳县</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3</w:t>
            </w: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5</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0" w:hRule="atLeast"/>
          <w:jc w:val="center"/>
        </w:trPr>
        <w:tc>
          <w:tcPr>
            <w:tcW w:w="72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32</w:t>
            </w:r>
          </w:p>
        </w:tc>
        <w:tc>
          <w:tcPr>
            <w:tcW w:w="17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奉节县</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2</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0" w:hRule="atLeast"/>
          <w:jc w:val="center"/>
        </w:trPr>
        <w:tc>
          <w:tcPr>
            <w:tcW w:w="72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33</w:t>
            </w:r>
          </w:p>
        </w:tc>
        <w:tc>
          <w:tcPr>
            <w:tcW w:w="17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巫山县</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2</w:t>
            </w: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0" w:hRule="atLeast"/>
          <w:jc w:val="center"/>
        </w:trPr>
        <w:tc>
          <w:tcPr>
            <w:tcW w:w="72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34</w:t>
            </w:r>
          </w:p>
        </w:tc>
        <w:tc>
          <w:tcPr>
            <w:tcW w:w="17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巫溪县</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0" w:hRule="atLeast"/>
          <w:jc w:val="center"/>
        </w:trPr>
        <w:tc>
          <w:tcPr>
            <w:tcW w:w="72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35</w:t>
            </w:r>
          </w:p>
        </w:tc>
        <w:tc>
          <w:tcPr>
            <w:tcW w:w="17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石柱县</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2</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0" w:hRule="atLeast"/>
          <w:jc w:val="center"/>
        </w:trPr>
        <w:tc>
          <w:tcPr>
            <w:tcW w:w="72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36</w:t>
            </w:r>
          </w:p>
        </w:tc>
        <w:tc>
          <w:tcPr>
            <w:tcW w:w="17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秀山县</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5</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0" w:hRule="atLeast"/>
          <w:jc w:val="center"/>
        </w:trPr>
        <w:tc>
          <w:tcPr>
            <w:tcW w:w="72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37</w:t>
            </w:r>
          </w:p>
        </w:tc>
        <w:tc>
          <w:tcPr>
            <w:tcW w:w="17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酉阳县</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3</w:t>
            </w: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4</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0" w:hRule="atLeast"/>
          <w:jc w:val="center"/>
        </w:trPr>
        <w:tc>
          <w:tcPr>
            <w:tcW w:w="72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38</w:t>
            </w:r>
          </w:p>
        </w:tc>
        <w:tc>
          <w:tcPr>
            <w:tcW w:w="17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彭水县</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2</w:t>
            </w: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2</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0" w:hRule="atLeast"/>
          <w:jc w:val="center"/>
        </w:trPr>
        <w:tc>
          <w:tcPr>
            <w:tcW w:w="72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39</w:t>
            </w:r>
          </w:p>
        </w:tc>
        <w:tc>
          <w:tcPr>
            <w:tcW w:w="17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两江新区</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6</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0" w:hRule="atLeast"/>
          <w:jc w:val="center"/>
        </w:trPr>
        <w:tc>
          <w:tcPr>
            <w:tcW w:w="72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40</w:t>
            </w:r>
          </w:p>
        </w:tc>
        <w:tc>
          <w:tcPr>
            <w:tcW w:w="17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万盛经开区</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2</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0" w:hRule="atLeast"/>
          <w:jc w:val="center"/>
        </w:trPr>
        <w:tc>
          <w:tcPr>
            <w:tcW w:w="2445"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合计</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6</w:t>
            </w: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9</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8</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90</w:t>
            </w: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117</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4</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0"/>
        <w:jc w:val="center"/>
        <w:rPr>
          <w:rFonts w:hint="eastAsia" w:ascii="微软雅黑" w:hAnsi="微软雅黑" w:eastAsia="微软雅黑" w:cs="微软雅黑"/>
          <w:i w:val="0"/>
          <w:iCs w:val="0"/>
          <w:caps w:val="0"/>
          <w:color w:val="333333"/>
          <w:spacing w:val="0"/>
          <w:sz w:val="24"/>
          <w:szCs w:val="24"/>
        </w:rPr>
      </w:pPr>
      <w:r>
        <w:rPr>
          <w:rStyle w:val="5"/>
          <w:rFonts w:hint="default" w:ascii="Times New Roman" w:hAnsi="Times New Roman" w:eastAsia="微软雅黑" w:cs="Times New Roman"/>
          <w:i w:val="0"/>
          <w:iCs w:val="0"/>
          <w:caps w:val="0"/>
          <w:color w:val="333333"/>
          <w:spacing w:val="0"/>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0"/>
        <w:jc w:val="center"/>
        <w:rPr>
          <w:rFonts w:hint="eastAsia" w:ascii="微软雅黑" w:hAnsi="微软雅黑" w:eastAsia="微软雅黑" w:cs="微软雅黑"/>
          <w:i w:val="0"/>
          <w:iCs w:val="0"/>
          <w:caps w:val="0"/>
          <w:color w:val="333333"/>
          <w:spacing w:val="0"/>
          <w:sz w:val="24"/>
          <w:szCs w:val="24"/>
        </w:rPr>
      </w:pPr>
      <w:r>
        <w:rPr>
          <w:rStyle w:val="5"/>
          <w:rFonts w:hint="eastAsia" w:ascii="方正仿宋_GBK" w:hAnsi="方正仿宋_GBK" w:eastAsia="方正仿宋_GBK" w:cs="方正仿宋_GBK"/>
          <w:i w:val="0"/>
          <w:iCs w:val="0"/>
          <w:caps w:val="0"/>
          <w:color w:val="333333"/>
          <w:spacing w:val="0"/>
          <w:sz w:val="31"/>
          <w:szCs w:val="31"/>
          <w:shd w:val="clear" w:fill="FFFFFF"/>
        </w:rPr>
        <w:t>表三“十三五”重庆市公墓建设规划表</w:t>
      </w:r>
    </w:p>
    <w:tbl>
      <w:tblPr>
        <w:tblStyle w:val="3"/>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534"/>
        <w:gridCol w:w="939"/>
        <w:gridCol w:w="631"/>
        <w:gridCol w:w="861"/>
        <w:gridCol w:w="599"/>
        <w:gridCol w:w="631"/>
        <w:gridCol w:w="936"/>
        <w:gridCol w:w="631"/>
        <w:gridCol w:w="666"/>
        <w:gridCol w:w="1255"/>
        <w:gridCol w:w="833"/>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5" w:hRule="atLeast"/>
          <w:jc w:val="center"/>
        </w:trPr>
        <w:tc>
          <w:tcPr>
            <w:tcW w:w="570"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序号</w:t>
            </w:r>
          </w:p>
        </w:tc>
        <w:tc>
          <w:tcPr>
            <w:tcW w:w="1140" w:type="dxa"/>
            <w:vMerge w:val="restar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区县</w:t>
            </w:r>
          </w:p>
        </w:tc>
        <w:tc>
          <w:tcPr>
            <w:tcW w:w="2235" w:type="dxa"/>
            <w:gridSpan w:val="3"/>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经营性公墓（个）</w:t>
            </w:r>
          </w:p>
        </w:tc>
        <w:tc>
          <w:tcPr>
            <w:tcW w:w="2385" w:type="dxa"/>
            <w:gridSpan w:val="3"/>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城市公益性公墓（个）</w:t>
            </w:r>
          </w:p>
        </w:tc>
        <w:tc>
          <w:tcPr>
            <w:tcW w:w="3120" w:type="dxa"/>
            <w:gridSpan w:val="3"/>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乡、镇、村公益性公墓（个）</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5" w:hRule="atLeast"/>
          <w:jc w:val="center"/>
        </w:trPr>
        <w:tc>
          <w:tcPr>
            <w:tcW w:w="570"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333333"/>
                <w:spacing w:val="0"/>
                <w:sz w:val="24"/>
                <w:szCs w:val="24"/>
              </w:rPr>
            </w:pPr>
          </w:p>
        </w:tc>
        <w:tc>
          <w:tcPr>
            <w:tcW w:w="1140" w:type="dxa"/>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新建</w:t>
            </w: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1"/>
                <w:szCs w:val="21"/>
              </w:rPr>
              <w:t>改（扩）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1"/>
                <w:szCs w:val="21"/>
              </w:rPr>
              <w:t>建</w:t>
            </w:r>
          </w:p>
        </w:tc>
        <w:tc>
          <w:tcPr>
            <w:tcW w:w="6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迁建</w:t>
            </w:r>
          </w:p>
        </w:tc>
        <w:tc>
          <w:tcPr>
            <w:tcW w:w="70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新建</w:t>
            </w:r>
          </w:p>
        </w:tc>
        <w:tc>
          <w:tcPr>
            <w:tcW w:w="97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1"/>
                <w:szCs w:val="21"/>
              </w:rPr>
              <w:t>改（扩）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1"/>
                <w:szCs w:val="21"/>
              </w:rPr>
              <w:t>建</w:t>
            </w:r>
          </w:p>
        </w:tc>
        <w:tc>
          <w:tcPr>
            <w:tcW w:w="70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迁建</w:t>
            </w:r>
          </w:p>
        </w:tc>
        <w:tc>
          <w:tcPr>
            <w:tcW w:w="70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新建</w:t>
            </w:r>
          </w:p>
        </w:tc>
        <w:tc>
          <w:tcPr>
            <w:tcW w:w="142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1"/>
                <w:szCs w:val="21"/>
              </w:rPr>
              <w:t>改（扩）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1"/>
                <w:szCs w:val="21"/>
              </w:rPr>
              <w:t>建</w:t>
            </w:r>
          </w:p>
        </w:tc>
        <w:tc>
          <w:tcPr>
            <w:tcW w:w="99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迁建</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5" w:hRule="atLeast"/>
          <w:jc w:val="center"/>
        </w:trPr>
        <w:tc>
          <w:tcPr>
            <w:tcW w:w="57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市级</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66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2</w:t>
            </w:r>
          </w:p>
        </w:tc>
        <w:tc>
          <w:tcPr>
            <w:tcW w:w="97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425" w:type="dxa"/>
            <w:tcBorders>
              <w:top w:val="nil"/>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5" w:hRule="atLeast"/>
          <w:jc w:val="center"/>
        </w:trPr>
        <w:tc>
          <w:tcPr>
            <w:tcW w:w="57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万州区</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66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97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42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5" w:hRule="atLeast"/>
          <w:jc w:val="center"/>
        </w:trPr>
        <w:tc>
          <w:tcPr>
            <w:tcW w:w="57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2</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黔江区</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66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97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3</w:t>
            </w:r>
          </w:p>
        </w:tc>
        <w:tc>
          <w:tcPr>
            <w:tcW w:w="142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5" w:hRule="atLeast"/>
          <w:jc w:val="center"/>
        </w:trPr>
        <w:tc>
          <w:tcPr>
            <w:tcW w:w="57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3</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涪陵区</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66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7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42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5" w:hRule="atLeast"/>
          <w:jc w:val="center"/>
        </w:trPr>
        <w:tc>
          <w:tcPr>
            <w:tcW w:w="57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4</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渝中区</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66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7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42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5" w:hRule="atLeast"/>
          <w:jc w:val="center"/>
        </w:trPr>
        <w:tc>
          <w:tcPr>
            <w:tcW w:w="57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5</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1"/>
                <w:szCs w:val="21"/>
              </w:rPr>
              <w:t>大渡口区</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66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7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42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5" w:hRule="atLeast"/>
          <w:jc w:val="center"/>
        </w:trPr>
        <w:tc>
          <w:tcPr>
            <w:tcW w:w="57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6</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江北区</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66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7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42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5" w:hRule="atLeast"/>
          <w:jc w:val="center"/>
        </w:trPr>
        <w:tc>
          <w:tcPr>
            <w:tcW w:w="57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7</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1"/>
                <w:szCs w:val="21"/>
              </w:rPr>
              <w:t>沙坪坝区</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66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7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42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5" w:hRule="atLeast"/>
          <w:jc w:val="center"/>
        </w:trPr>
        <w:tc>
          <w:tcPr>
            <w:tcW w:w="57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8</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1"/>
                <w:szCs w:val="21"/>
              </w:rPr>
              <w:t>九龙坡区</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66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7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42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5" w:hRule="atLeast"/>
          <w:jc w:val="center"/>
        </w:trPr>
        <w:tc>
          <w:tcPr>
            <w:tcW w:w="57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9</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南岸区</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66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7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142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5" w:hRule="atLeast"/>
          <w:jc w:val="center"/>
        </w:trPr>
        <w:tc>
          <w:tcPr>
            <w:tcW w:w="57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10</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北碚区</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66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7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42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5" w:hRule="atLeast"/>
          <w:jc w:val="center"/>
        </w:trPr>
        <w:tc>
          <w:tcPr>
            <w:tcW w:w="57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11</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渝北区</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66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7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42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5" w:hRule="atLeast"/>
          <w:jc w:val="center"/>
        </w:trPr>
        <w:tc>
          <w:tcPr>
            <w:tcW w:w="57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12</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巴南区</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66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7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42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5" w:hRule="atLeast"/>
          <w:jc w:val="center"/>
        </w:trPr>
        <w:tc>
          <w:tcPr>
            <w:tcW w:w="57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13</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长寿区</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66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97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3</w:t>
            </w:r>
          </w:p>
        </w:tc>
        <w:tc>
          <w:tcPr>
            <w:tcW w:w="14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2</w:t>
            </w: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5" w:hRule="atLeast"/>
          <w:jc w:val="center"/>
        </w:trPr>
        <w:tc>
          <w:tcPr>
            <w:tcW w:w="57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14</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江津区</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66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97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5</w:t>
            </w:r>
          </w:p>
        </w:tc>
        <w:tc>
          <w:tcPr>
            <w:tcW w:w="142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5" w:hRule="atLeast"/>
          <w:jc w:val="center"/>
        </w:trPr>
        <w:tc>
          <w:tcPr>
            <w:tcW w:w="57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15</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合川区</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66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97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4</w:t>
            </w:r>
          </w:p>
        </w:tc>
        <w:tc>
          <w:tcPr>
            <w:tcW w:w="142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5" w:hRule="atLeast"/>
          <w:jc w:val="center"/>
        </w:trPr>
        <w:tc>
          <w:tcPr>
            <w:tcW w:w="57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16</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永川区</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66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97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3</w:t>
            </w:r>
          </w:p>
        </w:tc>
        <w:tc>
          <w:tcPr>
            <w:tcW w:w="142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5" w:hRule="atLeast"/>
          <w:jc w:val="center"/>
        </w:trPr>
        <w:tc>
          <w:tcPr>
            <w:tcW w:w="57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17</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南川区</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66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97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42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5" w:hRule="atLeast"/>
          <w:jc w:val="center"/>
        </w:trPr>
        <w:tc>
          <w:tcPr>
            <w:tcW w:w="57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18</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綦江区</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66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97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4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2</w:t>
            </w: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5" w:hRule="atLeast"/>
          <w:jc w:val="center"/>
        </w:trPr>
        <w:tc>
          <w:tcPr>
            <w:tcW w:w="57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19</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大足区</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66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97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142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5" w:hRule="atLeast"/>
          <w:jc w:val="center"/>
        </w:trPr>
        <w:tc>
          <w:tcPr>
            <w:tcW w:w="57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20</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璧山区</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66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7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2</w:t>
            </w:r>
          </w:p>
        </w:tc>
        <w:tc>
          <w:tcPr>
            <w:tcW w:w="142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5" w:hRule="atLeast"/>
          <w:jc w:val="center"/>
        </w:trPr>
        <w:tc>
          <w:tcPr>
            <w:tcW w:w="57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21</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铜梁区</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66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97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9</w:t>
            </w:r>
          </w:p>
        </w:tc>
        <w:tc>
          <w:tcPr>
            <w:tcW w:w="142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5" w:hRule="atLeast"/>
          <w:jc w:val="center"/>
        </w:trPr>
        <w:tc>
          <w:tcPr>
            <w:tcW w:w="57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22</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潼南区</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66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97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42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5" w:hRule="atLeast"/>
          <w:jc w:val="center"/>
        </w:trPr>
        <w:tc>
          <w:tcPr>
            <w:tcW w:w="57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23</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荣昌区</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66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97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3</w:t>
            </w:r>
          </w:p>
        </w:tc>
        <w:tc>
          <w:tcPr>
            <w:tcW w:w="142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5" w:hRule="atLeast"/>
          <w:jc w:val="center"/>
        </w:trPr>
        <w:tc>
          <w:tcPr>
            <w:tcW w:w="57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24</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开州区</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66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7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6</w:t>
            </w:r>
          </w:p>
        </w:tc>
        <w:tc>
          <w:tcPr>
            <w:tcW w:w="142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5" w:hRule="atLeast"/>
          <w:jc w:val="center"/>
        </w:trPr>
        <w:tc>
          <w:tcPr>
            <w:tcW w:w="57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25</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梁平区</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66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7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12</w:t>
            </w:r>
          </w:p>
        </w:tc>
        <w:tc>
          <w:tcPr>
            <w:tcW w:w="142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5" w:hRule="atLeast"/>
          <w:jc w:val="center"/>
        </w:trPr>
        <w:tc>
          <w:tcPr>
            <w:tcW w:w="57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26</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武隆区</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66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3</w:t>
            </w:r>
          </w:p>
        </w:tc>
        <w:tc>
          <w:tcPr>
            <w:tcW w:w="142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70" w:hRule="atLeast"/>
          <w:jc w:val="center"/>
        </w:trPr>
        <w:tc>
          <w:tcPr>
            <w:tcW w:w="57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27</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城口县</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66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97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6</w:t>
            </w:r>
          </w:p>
        </w:tc>
        <w:tc>
          <w:tcPr>
            <w:tcW w:w="142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5" w:hRule="atLeast"/>
          <w:jc w:val="center"/>
        </w:trPr>
        <w:tc>
          <w:tcPr>
            <w:tcW w:w="57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28</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丰都县</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66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7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142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5" w:hRule="atLeast"/>
          <w:jc w:val="center"/>
        </w:trPr>
        <w:tc>
          <w:tcPr>
            <w:tcW w:w="57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29</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垫江县</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66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7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15</w:t>
            </w:r>
          </w:p>
        </w:tc>
        <w:tc>
          <w:tcPr>
            <w:tcW w:w="142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5" w:hRule="atLeast"/>
          <w:jc w:val="center"/>
        </w:trPr>
        <w:tc>
          <w:tcPr>
            <w:tcW w:w="57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30</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忠县</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66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7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2</w:t>
            </w:r>
          </w:p>
        </w:tc>
        <w:tc>
          <w:tcPr>
            <w:tcW w:w="14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5" w:hRule="atLeast"/>
          <w:jc w:val="center"/>
        </w:trPr>
        <w:tc>
          <w:tcPr>
            <w:tcW w:w="57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31</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开州区</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66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7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6</w:t>
            </w:r>
          </w:p>
        </w:tc>
        <w:tc>
          <w:tcPr>
            <w:tcW w:w="142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5" w:hRule="atLeast"/>
          <w:jc w:val="center"/>
        </w:trPr>
        <w:tc>
          <w:tcPr>
            <w:tcW w:w="57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32</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云阳县</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6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7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10</w:t>
            </w:r>
          </w:p>
        </w:tc>
        <w:tc>
          <w:tcPr>
            <w:tcW w:w="142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5" w:hRule="atLeast"/>
          <w:jc w:val="center"/>
        </w:trPr>
        <w:tc>
          <w:tcPr>
            <w:tcW w:w="57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33</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奉节县</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66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97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3</w:t>
            </w:r>
          </w:p>
        </w:tc>
        <w:tc>
          <w:tcPr>
            <w:tcW w:w="142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5" w:hRule="atLeast"/>
          <w:jc w:val="center"/>
        </w:trPr>
        <w:tc>
          <w:tcPr>
            <w:tcW w:w="57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34</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巫山县</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66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97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9</w:t>
            </w:r>
          </w:p>
        </w:tc>
        <w:tc>
          <w:tcPr>
            <w:tcW w:w="142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5" w:hRule="atLeast"/>
          <w:jc w:val="center"/>
        </w:trPr>
        <w:tc>
          <w:tcPr>
            <w:tcW w:w="57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35</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巫溪县</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66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97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4</w:t>
            </w:r>
          </w:p>
        </w:tc>
        <w:tc>
          <w:tcPr>
            <w:tcW w:w="142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5" w:hRule="atLeast"/>
          <w:jc w:val="center"/>
        </w:trPr>
        <w:tc>
          <w:tcPr>
            <w:tcW w:w="57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36</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石柱县</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66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142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5" w:hRule="atLeast"/>
          <w:jc w:val="center"/>
        </w:trPr>
        <w:tc>
          <w:tcPr>
            <w:tcW w:w="57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37</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秀山县</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66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97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10</w:t>
            </w:r>
          </w:p>
        </w:tc>
        <w:tc>
          <w:tcPr>
            <w:tcW w:w="142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5" w:hRule="atLeast"/>
          <w:jc w:val="center"/>
        </w:trPr>
        <w:tc>
          <w:tcPr>
            <w:tcW w:w="57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38</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酉阳县</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66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97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5</w:t>
            </w:r>
          </w:p>
        </w:tc>
        <w:tc>
          <w:tcPr>
            <w:tcW w:w="142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5" w:hRule="atLeast"/>
          <w:jc w:val="center"/>
        </w:trPr>
        <w:tc>
          <w:tcPr>
            <w:tcW w:w="57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39</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彭水县</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66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97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3</w:t>
            </w:r>
          </w:p>
        </w:tc>
        <w:tc>
          <w:tcPr>
            <w:tcW w:w="142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5" w:hRule="atLeast"/>
          <w:jc w:val="center"/>
        </w:trPr>
        <w:tc>
          <w:tcPr>
            <w:tcW w:w="57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40</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15"/>
                <w:sz w:val="21"/>
                <w:szCs w:val="21"/>
              </w:rPr>
              <w:t>万盛经开区</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66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7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142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5" w:hRule="atLeast"/>
          <w:jc w:val="center"/>
        </w:trPr>
        <w:tc>
          <w:tcPr>
            <w:tcW w:w="1695"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方正仿宋_GBK" w:hAnsi="方正仿宋_GBK" w:eastAsia="方正仿宋_GBK" w:cs="方正仿宋_GBK"/>
                <w:i w:val="0"/>
                <w:iCs w:val="0"/>
                <w:caps w:val="0"/>
                <w:color w:val="333333"/>
                <w:spacing w:val="0"/>
                <w:sz w:val="24"/>
                <w:szCs w:val="24"/>
              </w:rPr>
              <w:t>合计</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11</w:t>
            </w: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2</w:t>
            </w:r>
          </w:p>
        </w:tc>
        <w:tc>
          <w:tcPr>
            <w:tcW w:w="6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21</w:t>
            </w:r>
          </w:p>
        </w:tc>
        <w:tc>
          <w:tcPr>
            <w:tcW w:w="9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2</w:t>
            </w: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c>
          <w:tcPr>
            <w:tcW w:w="7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124</w:t>
            </w:r>
          </w:p>
        </w:tc>
        <w:tc>
          <w:tcPr>
            <w:tcW w:w="14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Times New Roman" w:hAnsi="Times New Roman" w:eastAsia="微软雅黑" w:cs="Times New Roman"/>
                <w:i w:val="0"/>
                <w:iCs w:val="0"/>
                <w:caps w:val="0"/>
                <w:color w:val="333333"/>
                <w:spacing w:val="0"/>
                <w:sz w:val="24"/>
                <w:szCs w:val="24"/>
              </w:rPr>
              <w:t>5</w:t>
            </w: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楷体_GBK" w:hAnsi="方正楷体_GBK" w:eastAsia="方正楷体_GBK" w:cs="方正楷体_GBK"/>
          <w:i w:val="0"/>
          <w:iCs w:val="0"/>
          <w:caps w:val="0"/>
          <w:color w:val="333333"/>
          <w:spacing w:val="0"/>
          <w:sz w:val="31"/>
          <w:szCs w:val="31"/>
          <w:shd w:val="clear" w:fill="FFFFFF"/>
        </w:rPr>
        <w:t>（三）进一步完善惠民殡葬政策</w:t>
      </w:r>
      <w:r>
        <w:rPr>
          <w:rStyle w:val="5"/>
          <w:rFonts w:hint="eastAsia" w:ascii="方正仿宋_GBK" w:hAnsi="方正仿宋_GBK" w:eastAsia="方正仿宋_GBK" w:cs="方正仿宋_GBK"/>
          <w:i w:val="0"/>
          <w:iCs w:val="0"/>
          <w:caps w:val="0"/>
          <w:color w:val="333333"/>
          <w:spacing w:val="0"/>
          <w:sz w:val="31"/>
          <w:szCs w:val="31"/>
          <w:shd w:val="clear" w:fill="FFFFFF"/>
        </w:rPr>
        <w:t>。</w:t>
      </w:r>
      <w:r>
        <w:rPr>
          <w:rFonts w:hint="eastAsia" w:ascii="方正仿宋_GBK" w:hAnsi="方正仿宋_GBK" w:eastAsia="方正仿宋_GBK" w:cs="方正仿宋_GBK"/>
          <w:i w:val="0"/>
          <w:iCs w:val="0"/>
          <w:caps w:val="0"/>
          <w:color w:val="333333"/>
          <w:spacing w:val="0"/>
          <w:sz w:val="31"/>
          <w:szCs w:val="31"/>
          <w:shd w:val="clear" w:fill="FFFFFF"/>
        </w:rPr>
        <w:t>充分发挥政府在保障基本殡葬公共服务中的主体地位和公办殡葬服务单位在提供基本殡葬公共服务中的主导作用，按照保障基本、覆盖城乡、持续发展、适度普惠的原则，在我市现有惠民殡葬政策基础上，着力从“扩面、增项、提标”上下功夫，逐步将遗体接运、守灵基本服务、火化、骨灰寄存等基本殡葬公共服务纳入政府保障范围，逐步推进基本殡葬服务均等化，将惠民殡葬政策扩大到全市城乡居民。土葬改革区各区县要参照《关于免除城乡困难群众基本丧葬服务费的通知》（渝民发〔</w:t>
      </w:r>
      <w:r>
        <w:rPr>
          <w:rFonts w:hint="default" w:ascii="Times New Roman" w:hAnsi="Times New Roman" w:eastAsia="微软雅黑" w:cs="Times New Roman"/>
          <w:i w:val="0"/>
          <w:iCs w:val="0"/>
          <w:caps w:val="0"/>
          <w:color w:val="333333"/>
          <w:spacing w:val="0"/>
          <w:sz w:val="31"/>
          <w:szCs w:val="31"/>
          <w:shd w:val="clear" w:fill="FFFFFF"/>
        </w:rPr>
        <w:t>2009</w:t>
      </w:r>
      <w:r>
        <w:rPr>
          <w:rFonts w:hint="eastAsia" w:ascii="方正仿宋_GBK" w:hAnsi="方正仿宋_GBK" w:eastAsia="方正仿宋_GBK" w:cs="方正仿宋_GBK"/>
          <w:i w:val="0"/>
          <w:iCs w:val="0"/>
          <w:caps w:val="0"/>
          <w:color w:val="333333"/>
          <w:spacing w:val="0"/>
          <w:sz w:val="31"/>
          <w:szCs w:val="31"/>
          <w:shd w:val="clear" w:fill="FFFFFF"/>
        </w:rPr>
        <w:t>〕</w:t>
      </w:r>
      <w:r>
        <w:rPr>
          <w:rFonts w:hint="default" w:ascii="Times New Roman" w:hAnsi="Times New Roman" w:eastAsia="微软雅黑" w:cs="Times New Roman"/>
          <w:i w:val="0"/>
          <w:iCs w:val="0"/>
          <w:caps w:val="0"/>
          <w:color w:val="333333"/>
          <w:spacing w:val="0"/>
          <w:sz w:val="31"/>
          <w:szCs w:val="31"/>
          <w:shd w:val="clear" w:fill="FFFFFF"/>
        </w:rPr>
        <w:t>134</w:t>
      </w:r>
      <w:r>
        <w:rPr>
          <w:rFonts w:hint="eastAsia" w:ascii="方正仿宋_GBK" w:hAnsi="方正仿宋_GBK" w:eastAsia="方正仿宋_GBK" w:cs="方正仿宋_GBK"/>
          <w:i w:val="0"/>
          <w:iCs w:val="0"/>
          <w:caps w:val="0"/>
          <w:color w:val="333333"/>
          <w:spacing w:val="0"/>
          <w:sz w:val="31"/>
          <w:szCs w:val="31"/>
          <w:shd w:val="clear" w:fill="FFFFFF"/>
        </w:rPr>
        <w:t>号）制定免除困难群众基本丧葬费的办法，市财政对贫困县给予适当补助。探索建立殡葬改革激励引导机制，对实行生态安葬或不保留骨灰的，以及土葬改革区自愿火化的，研究制定奖补政策。鼓励各地结合实际，出台推行火化、集中文明治丧、节地生态安葬等促进殡葬改革的奖励措施，提高惠民殡葬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楷体_GBK" w:hAnsi="方正楷体_GBK" w:eastAsia="方正楷体_GBK" w:cs="方正楷体_GBK"/>
          <w:i w:val="0"/>
          <w:iCs w:val="0"/>
          <w:caps w:val="0"/>
          <w:color w:val="333333"/>
          <w:spacing w:val="0"/>
          <w:sz w:val="31"/>
          <w:szCs w:val="31"/>
          <w:shd w:val="clear" w:fill="FFFFFF"/>
        </w:rPr>
        <w:t>（四）不断提高殡葬服务水平</w:t>
      </w:r>
      <w:r>
        <w:rPr>
          <w:rFonts w:hint="eastAsia" w:ascii="方正仿宋_GBK" w:hAnsi="方正仿宋_GBK" w:eastAsia="方正仿宋_GBK" w:cs="方正仿宋_GBK"/>
          <w:i w:val="0"/>
          <w:iCs w:val="0"/>
          <w:caps w:val="0"/>
          <w:color w:val="333333"/>
          <w:spacing w:val="0"/>
          <w:sz w:val="31"/>
          <w:szCs w:val="31"/>
          <w:shd w:val="clear" w:fill="FFFFFF"/>
        </w:rPr>
        <w:t>。合理界定基本殡葬服务和选择性殡葬服务范围，确保政府基本公共服务不缺位、选择性服务市场供给行为不失范。大力推行殡葬服务标准化管理，全面实施国家行业标准和重庆地方标准，提高专业化、规范化水平。加快殡葬服务信息化建设，健全殡葬公共服务信息平台，规范基本服务流程，简化窗口办理手续，优化惠民减免结算环节，科学保管服务信息档案。不断完善市“</w:t>
      </w:r>
      <w:r>
        <w:rPr>
          <w:rFonts w:hint="default" w:ascii="Times New Roman" w:hAnsi="Times New Roman" w:eastAsia="微软雅黑" w:cs="Times New Roman"/>
          <w:i w:val="0"/>
          <w:iCs w:val="0"/>
          <w:caps w:val="0"/>
          <w:color w:val="333333"/>
          <w:spacing w:val="0"/>
          <w:sz w:val="31"/>
          <w:szCs w:val="31"/>
          <w:shd w:val="clear" w:fill="FFFFFF"/>
        </w:rPr>
        <w:t>96000</w:t>
      </w:r>
      <w:r>
        <w:rPr>
          <w:rFonts w:hint="eastAsia" w:ascii="方正仿宋_GBK" w:hAnsi="方正仿宋_GBK" w:eastAsia="方正仿宋_GBK" w:cs="方正仿宋_GBK"/>
          <w:i w:val="0"/>
          <w:iCs w:val="0"/>
          <w:caps w:val="0"/>
          <w:color w:val="333333"/>
          <w:spacing w:val="0"/>
          <w:sz w:val="31"/>
          <w:szCs w:val="31"/>
          <w:shd w:val="clear" w:fill="FFFFFF"/>
        </w:rPr>
        <w:t>”殡葬服务热线功能，逐步将其功能拓展到主城以外区县，确保广大群众得到及时、便捷、优质、高效的服务。加强殡葬服务单位管理，强化技能培训，不断创新服务方式、优化服务流程、丰富服务内容，提高服务质量。推行公开公示制度，公开服务项目和收费标准，严格执行殡葬物价政策，严禁任何形式捆绑强制或误导消费，坚决纠正利用行业特殊性损害群众利益的问题，切实维护群众基本殡葬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楷体_GBK" w:hAnsi="方正楷体_GBK" w:eastAsia="方正楷体_GBK" w:cs="方正楷体_GBK"/>
          <w:i w:val="0"/>
          <w:iCs w:val="0"/>
          <w:caps w:val="0"/>
          <w:color w:val="333333"/>
          <w:spacing w:val="0"/>
          <w:sz w:val="31"/>
          <w:szCs w:val="31"/>
          <w:shd w:val="clear" w:fill="FFFFFF"/>
        </w:rPr>
        <w:t>（五）进一步完善殡葬管理</w:t>
      </w:r>
      <w:r>
        <w:rPr>
          <w:rStyle w:val="5"/>
          <w:rFonts w:hint="eastAsia" w:ascii="方正仿宋_GBK" w:hAnsi="方正仿宋_GBK" w:eastAsia="方正仿宋_GBK" w:cs="方正仿宋_GBK"/>
          <w:i w:val="0"/>
          <w:iCs w:val="0"/>
          <w:caps w:val="0"/>
          <w:color w:val="333333"/>
          <w:spacing w:val="0"/>
          <w:sz w:val="31"/>
          <w:szCs w:val="31"/>
          <w:shd w:val="clear" w:fill="FFFFFF"/>
        </w:rPr>
        <w:t>。</w:t>
      </w:r>
      <w:r>
        <w:rPr>
          <w:rFonts w:hint="eastAsia" w:ascii="方正仿宋_GBK" w:hAnsi="方正仿宋_GBK" w:eastAsia="方正仿宋_GBK" w:cs="方正仿宋_GBK"/>
          <w:i w:val="0"/>
          <w:iCs w:val="0"/>
          <w:caps w:val="0"/>
          <w:color w:val="333333"/>
          <w:spacing w:val="0"/>
          <w:sz w:val="31"/>
          <w:szCs w:val="31"/>
          <w:shd w:val="clear" w:fill="FFFFFF"/>
        </w:rPr>
        <w:t>把殡葬工作纳入政府目标管理和绩效考核，建立健全组织领导机制。从行政权力履行、职责分工和殡葬改革实际出发，探索建立完善殡葬工作协调机制。继续推进政事分开、管办分离改革和分类推进殡葬服务事业单位改革。坚持火葬殡仪馆由政府举办和管理，对由社会资本建设的火葬殡仪馆，应采取政府赎买的方式，逐步收归国有。加强殡葬行业自律，充分发挥殡葬行业协会提供服务、反映诉求、规范行为的作用。加快殡葬法治建设，国务院《殡葬管理条例》修订出台后，适时启动重庆市殡葬管理条例修订工作，结合重庆实际，加快相应配套性政策创制，研究制定相关殡葬行政许可、惠民政策、公墓管理、文明治丧、殡葬服务管理、地方标准等规范性文件，不断完善殡葬政策法规，坚持依法管理，依法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楷体_GBK" w:hAnsi="方正楷体_GBK" w:eastAsia="方正楷体_GBK" w:cs="方正楷体_GBK"/>
          <w:i w:val="0"/>
          <w:iCs w:val="0"/>
          <w:caps w:val="0"/>
          <w:color w:val="333333"/>
          <w:spacing w:val="0"/>
          <w:sz w:val="31"/>
          <w:szCs w:val="31"/>
          <w:shd w:val="clear" w:fill="FFFFFF"/>
        </w:rPr>
        <w:t>（六）加强殡葬重点事务监管</w:t>
      </w:r>
      <w:r>
        <w:rPr>
          <w:rStyle w:val="5"/>
          <w:rFonts w:hint="eastAsia" w:ascii="方正仿宋_GBK" w:hAnsi="方正仿宋_GBK" w:eastAsia="方正仿宋_GBK" w:cs="方正仿宋_GBK"/>
          <w:i w:val="0"/>
          <w:iCs w:val="0"/>
          <w:caps w:val="0"/>
          <w:color w:val="333333"/>
          <w:spacing w:val="0"/>
          <w:sz w:val="31"/>
          <w:szCs w:val="31"/>
          <w:shd w:val="clear" w:fill="FFFFFF"/>
        </w:rPr>
        <w:t>。</w:t>
      </w:r>
      <w:r>
        <w:rPr>
          <w:rFonts w:hint="eastAsia" w:ascii="方正仿宋_GBK" w:hAnsi="方正仿宋_GBK" w:eastAsia="方正仿宋_GBK" w:cs="方正仿宋_GBK"/>
          <w:i w:val="0"/>
          <w:iCs w:val="0"/>
          <w:caps w:val="0"/>
          <w:color w:val="333333"/>
          <w:spacing w:val="0"/>
          <w:sz w:val="31"/>
          <w:szCs w:val="31"/>
          <w:shd w:val="clear" w:fill="FFFFFF"/>
        </w:rPr>
        <w:t>加强经营性公墓管理，严格依法审批许可，严禁擅自扩大建设用地规模，严禁炒买炒卖墓穴、骨灰格位，严禁建售超面积、豪华墓位。加强城市公益性公墓建设管理，坚持政府投资建设，实行定价管理，确保公益属性。强化公墓维护管理费使用情况的监管。加强对农村公益性公墓的监管，严禁对外销售牟利。着力治理乱埋乱葬、大墓豪华墓、骨灰装棺再葬。加强文明治丧管理，着力治理占道乱搭灵棚、非法运输遗体以及污染环境等行为。加强殡葬价格监管，全面实施价格公示制度，规范殡葬收费行为。依法查处肆意抬高服务价格、销售假冒伪劣用品、欺骗坑害消费者等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楷体_GBK" w:hAnsi="方正楷体_GBK" w:eastAsia="方正楷体_GBK" w:cs="方正楷体_GBK"/>
          <w:i w:val="0"/>
          <w:iCs w:val="0"/>
          <w:caps w:val="0"/>
          <w:color w:val="333333"/>
          <w:spacing w:val="0"/>
          <w:sz w:val="31"/>
          <w:szCs w:val="31"/>
          <w:shd w:val="clear" w:fill="FFFFFF"/>
        </w:rPr>
        <w:t>（七）推进殡葬能力建设。</w:t>
      </w:r>
      <w:r>
        <w:rPr>
          <w:rFonts w:hint="eastAsia" w:ascii="方正仿宋_GBK" w:hAnsi="方正仿宋_GBK" w:eastAsia="方正仿宋_GBK" w:cs="方正仿宋_GBK"/>
          <w:i w:val="0"/>
          <w:iCs w:val="0"/>
          <w:caps w:val="0"/>
          <w:color w:val="333333"/>
          <w:spacing w:val="0"/>
          <w:sz w:val="31"/>
          <w:szCs w:val="31"/>
          <w:shd w:val="clear" w:fill="FFFFFF"/>
        </w:rPr>
        <w:t>一是加强殡葬标准化建设，以支架性标准为重点，逐步完善基础、方法、设施、服务、用品、管理等方面标准相配套的殡葬标准体系，提高服务水平。二是加强殡葬科技、文化研究，与相关高等院校、科研单位合作，积极开展殡葬科技、文化研究工作，围绕遗体火化、防腐整容、生态安葬等重点领域攻关，注重殡葬科技创新和成果转化，带动提升殡葬服务科技水平，加强殡葬社会习俗研究，挖掘殡葬文化底蕴，提高殡葬服务文化含量。三是健全殡葬应急机制，制定殡葬应急管理制度和重大事件应急预案，建立殡葬应急服务队伍，明确职责任务，配备遗体接运、冷藏、车载火化机等殡葬应急服务设备，满足应急服务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shd w:val="clear" w:fill="FFFFFF"/>
        </w:rPr>
        <w:t>四、保障措施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楷体_GBK" w:hAnsi="方正楷体_GBK" w:eastAsia="方正楷体_GBK" w:cs="方正楷体_GBK"/>
          <w:i w:val="0"/>
          <w:iCs w:val="0"/>
          <w:caps w:val="0"/>
          <w:color w:val="333333"/>
          <w:spacing w:val="0"/>
          <w:sz w:val="31"/>
          <w:szCs w:val="31"/>
          <w:shd w:val="clear" w:fill="FFFFFF"/>
        </w:rPr>
        <w:t>（一）健全工作机制。</w:t>
      </w:r>
      <w:r>
        <w:rPr>
          <w:rFonts w:hint="eastAsia" w:ascii="方正仿宋_GBK" w:hAnsi="方正仿宋_GBK" w:eastAsia="方正仿宋_GBK" w:cs="方正仿宋_GBK"/>
          <w:i w:val="0"/>
          <w:iCs w:val="0"/>
          <w:caps w:val="0"/>
          <w:color w:val="333333"/>
          <w:spacing w:val="0"/>
          <w:sz w:val="31"/>
          <w:szCs w:val="31"/>
          <w:shd w:val="clear" w:fill="FFFFFF"/>
        </w:rPr>
        <w:t>建立健全殡葬改革工作联席会议制度，完善殡葬改革协调联动机制。各级政府及部门要按照属地管理原则，做好本辖区的殡葬改革工作。民政部门要强化殡葬事务管理、监督检查，牵头做好相关协调工作；发展改革委、规划部门要做好基本殡葬服务设施建设的规划、立项工作；国土、林业部门应加强对基本殡葬服务设施建设用地支持，依法查处非法占地建墓行为；物价部门要加强殡葬价格管理，依法查处乱收费行为；公安、市政管理部门要依法制止和查处丧事中的占道搭设灵棚、噪声扰民、沿街抛撒冥钱、燃放鞭炮等违法行为；交通管理部门要查处非法运尸车辆；工商部门要查处非法制造、经营丧葬用品，无照从事殡葬服务等违规行为；卫生计生部门要加强太平间监管，规范医院死亡人员遗体处置程序，严防遗体非法外运；人力社保部门要加强丧葬费和抚恤金管理，不得发放火葬区违规土葬人员的丧葬费和一次性抚恤金；纪检监察部门要严肃查处党员干部在丧事活动中的违规违纪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795"/>
        <w:rPr>
          <w:rFonts w:hint="eastAsia" w:ascii="微软雅黑" w:hAnsi="微软雅黑" w:eastAsia="微软雅黑" w:cs="微软雅黑"/>
          <w:i w:val="0"/>
          <w:iCs w:val="0"/>
          <w:caps w:val="0"/>
          <w:color w:val="333333"/>
          <w:spacing w:val="0"/>
          <w:sz w:val="24"/>
          <w:szCs w:val="24"/>
        </w:rPr>
      </w:pPr>
      <w:r>
        <w:rPr>
          <w:rFonts w:hint="default" w:ascii="方正楷体_GBK" w:hAnsi="方正楷体_GBK" w:eastAsia="方正楷体_GBK" w:cs="方正楷体_GBK"/>
          <w:i w:val="0"/>
          <w:iCs w:val="0"/>
          <w:caps w:val="0"/>
          <w:color w:val="333333"/>
          <w:spacing w:val="0"/>
          <w:sz w:val="31"/>
          <w:szCs w:val="31"/>
          <w:shd w:val="clear" w:fill="FFFFFF"/>
        </w:rPr>
        <w:t>（二）加大投入保障</w:t>
      </w:r>
      <w:r>
        <w:rPr>
          <w:rStyle w:val="5"/>
          <w:rFonts w:hint="eastAsia" w:ascii="方正仿宋_GBK" w:hAnsi="方正仿宋_GBK" w:eastAsia="方正仿宋_GBK" w:cs="方正仿宋_GBK"/>
          <w:i w:val="0"/>
          <w:iCs w:val="0"/>
          <w:caps w:val="0"/>
          <w:color w:val="333333"/>
          <w:spacing w:val="0"/>
          <w:sz w:val="31"/>
          <w:szCs w:val="31"/>
          <w:shd w:val="clear" w:fill="FFFFFF"/>
        </w:rPr>
        <w:t>。</w:t>
      </w:r>
      <w:r>
        <w:rPr>
          <w:rFonts w:hint="eastAsia" w:ascii="方正仿宋_GBK" w:hAnsi="方正仿宋_GBK" w:eastAsia="方正仿宋_GBK" w:cs="方正仿宋_GBK"/>
          <w:i w:val="0"/>
          <w:iCs w:val="0"/>
          <w:caps w:val="0"/>
          <w:color w:val="333333"/>
          <w:spacing w:val="0"/>
          <w:sz w:val="31"/>
          <w:szCs w:val="31"/>
          <w:shd w:val="clear" w:fill="FFFFFF"/>
        </w:rPr>
        <w:t>各级政府要建立完善殡葬事业公共投入和稳定增长机制，将基本殡葬服务纳入地方财政预算，重点加强殡仪馆、城市公益性公墓等设施建设和惠民殡葬投入力度。各地要通过财政预算安排、福利彩票公益金投入、社会捐助等多种渠道筹集资金，加大公益性殡葬设施建设、殡葬救助保障、殡葬改革宣传和殡葬执法等专项经费投入，改善殡葬服务管理条件，提高公共服务能力。市级将通过以奖代补方式对区县公益性殡葬服务设施建设给予一定资助。要加强殡葬资金使用管理，确保专款专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ascii="微软雅黑" w:hAnsi="微软雅黑" w:eastAsia="微软雅黑" w:cs="微软雅黑"/>
          <w:i w:val="0"/>
          <w:iCs w:val="0"/>
          <w:caps w:val="0"/>
          <w:color w:val="333333"/>
          <w:spacing w:val="0"/>
          <w:sz w:val="45"/>
          <w:szCs w:val="45"/>
          <w:shd w:val="clear" w:fill="FFFFFF"/>
        </w:rPr>
      </w:pPr>
      <w:r>
        <w:rPr>
          <w:rFonts w:hint="default" w:ascii="方正楷体_GBK" w:hAnsi="方正楷体_GBK" w:eastAsia="方正楷体_GBK" w:cs="方正楷体_GBK"/>
          <w:i w:val="0"/>
          <w:iCs w:val="0"/>
          <w:caps w:val="0"/>
          <w:color w:val="333333"/>
          <w:spacing w:val="0"/>
          <w:sz w:val="31"/>
          <w:szCs w:val="31"/>
          <w:shd w:val="clear" w:fill="FFFFFF"/>
        </w:rPr>
        <w:t>（三）强化宣传引导</w:t>
      </w:r>
      <w:r>
        <w:rPr>
          <w:rStyle w:val="5"/>
          <w:rFonts w:hint="eastAsia" w:ascii="方正仿宋_GBK" w:hAnsi="方正仿宋_GBK" w:eastAsia="方正仿宋_GBK" w:cs="方正仿宋_GBK"/>
          <w:i w:val="0"/>
          <w:iCs w:val="0"/>
          <w:caps w:val="0"/>
          <w:color w:val="333333"/>
          <w:spacing w:val="0"/>
          <w:sz w:val="31"/>
          <w:szCs w:val="31"/>
          <w:shd w:val="clear" w:fill="FFFFFF"/>
        </w:rPr>
        <w:t>。</w:t>
      </w:r>
      <w:r>
        <w:rPr>
          <w:rFonts w:hint="eastAsia" w:ascii="方正仿宋_GBK" w:hAnsi="方正仿宋_GBK" w:eastAsia="方正仿宋_GBK" w:cs="方正仿宋_GBK"/>
          <w:i w:val="0"/>
          <w:iCs w:val="0"/>
          <w:caps w:val="0"/>
          <w:color w:val="333333"/>
          <w:spacing w:val="0"/>
          <w:sz w:val="31"/>
          <w:szCs w:val="31"/>
          <w:shd w:val="clear" w:fill="FFFFFF"/>
        </w:rPr>
        <w:t>各地各部门要加大宣传力度，以党员干部带头推动殡葬改革为引领，不断提高广大群众参与殡葬改革的自觉性。探索推广满足人民群众缅怀先人、慎终追远的先进殡葬习俗和殡葬文化，充分利用各种媒体和传播手段，深入宣传殡葬法规政策，普及科学知识，倡导厚养薄葬、文明节俭、生态环保、移风易俗的殡葬新风尚。大力宣传推动殡葬改革的先进典型，传播正能量。充分发挥媒体监督作用，曝光负面案例，为深化殡葬改革营造良好氛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mMDM0OGQ0OGRhZTlhNTNmOTg0OTdkYzU2ZDc2NWEifQ=="/>
  </w:docVars>
  <w:rsids>
    <w:rsidRoot w:val="00000000"/>
    <w:rsid w:val="089077EC"/>
    <w:rsid w:val="51817EE1"/>
    <w:rsid w:val="62060BE4"/>
    <w:rsid w:val="6EFC3D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7239</Words>
  <Characters>7439</Characters>
  <Lines>0</Lines>
  <Paragraphs>0</Paragraphs>
  <TotalTime>0</TotalTime>
  <ScaleCrop>false</ScaleCrop>
  <LinksUpToDate>false</LinksUpToDate>
  <CharactersWithSpaces>7439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2022-06-16T06:23:00Z</dcterms:created>
  <dc:creator>luxizhe</dc:creator>
  <cp:lastModifiedBy>半个夏天</cp:lastModifiedBy>
  <dcterms:modified xsi:type="dcterms:W3CDTF">2023-06-07T14:33:22Z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62DDAEABEA8846B3996046A7410B802F</vt:lpwstr>
  </property>
</Properties>
</file>