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9" w:lineRule="exact"/>
        <w:rPr>
          <w:rFonts w:ascii="方正仿宋_GBK" w:hAnsi="华文中宋" w:eastAsia="方正仿宋_GBK" w:cs="华文中宋"/>
          <w:b/>
          <w:sz w:val="32"/>
          <w:szCs w:val="32"/>
        </w:rPr>
      </w:pP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重庆市最低生活保障事务中心</w:t>
      </w:r>
    </w:p>
    <w:p>
      <w:pPr>
        <w:spacing w:line="579" w:lineRule="exact"/>
        <w:jc w:val="center"/>
        <w:rPr>
          <w:rFonts w:ascii="方正小标宋_GBK" w:hAnsi="华文中宋" w:eastAsia="方正小标宋_GBK" w:cs="华文中宋"/>
          <w:sz w:val="44"/>
          <w:szCs w:val="44"/>
        </w:rPr>
      </w:pPr>
      <w:r>
        <w:rPr>
          <w:rFonts w:ascii="Times New Roman" w:hAnsi="Times New Roman" w:eastAsia="方正小标宋_GBK"/>
          <w:sz w:val="44"/>
          <w:szCs w:val="44"/>
        </w:rPr>
        <w:t>2021年单位</w:t>
      </w:r>
      <w:r>
        <w:rPr>
          <w:rFonts w:hint="eastAsia" w:ascii="Times New Roman" w:hAnsi="Times New Roman" w:eastAsia="方正小标宋_GBK"/>
          <w:sz w:val="44"/>
          <w:szCs w:val="44"/>
        </w:rPr>
        <w:t>决</w:t>
      </w:r>
      <w:r>
        <w:rPr>
          <w:rFonts w:ascii="Times New Roman" w:hAnsi="Times New Roman" w:eastAsia="方正小标宋_GBK"/>
          <w:sz w:val="44"/>
          <w:szCs w:val="44"/>
        </w:rPr>
        <w:t>算情况说明</w:t>
      </w:r>
    </w:p>
    <w:p>
      <w:pPr>
        <w:spacing w:line="579" w:lineRule="exact"/>
        <w:ind w:firstLine="880" w:firstLineChars="200"/>
        <w:rPr>
          <w:rFonts w:ascii="华文中宋" w:hAnsi="华文中宋" w:eastAsia="华文中宋" w:cs="华文中宋"/>
          <w:sz w:val="44"/>
          <w:szCs w:val="44"/>
        </w:rPr>
      </w:pPr>
    </w:p>
    <w:p>
      <w:pPr>
        <w:spacing w:line="579"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79" w:lineRule="exact"/>
        <w:ind w:firstLine="640" w:firstLineChars="200"/>
        <w:rPr>
          <w:rFonts w:ascii="方正楷体_GBK" w:hAnsi="华文仿宋" w:eastAsia="方正楷体_GBK"/>
          <w:sz w:val="32"/>
          <w:szCs w:val="32"/>
        </w:rPr>
      </w:pPr>
      <w:r>
        <w:rPr>
          <w:rFonts w:hint="eastAsia" w:ascii="方正楷体_GBK" w:hAnsi="华文仿宋" w:eastAsia="方正楷体_GBK"/>
          <w:sz w:val="32"/>
          <w:szCs w:val="32"/>
        </w:rPr>
        <w:t>（一）职能职责</w:t>
      </w:r>
    </w:p>
    <w:p>
      <w:pPr>
        <w:pStyle w:val="3"/>
        <w:spacing w:line="579" w:lineRule="exact"/>
        <w:ind w:left="0" w:leftChars="0" w:right="210"/>
        <w:rPr>
          <w:rFonts w:ascii="Times New Roman" w:hAnsi="Times New Roman" w:eastAsia="方正仿宋_GBK"/>
          <w:sz w:val="32"/>
          <w:szCs w:val="32"/>
        </w:rPr>
      </w:pPr>
      <w:r>
        <w:rPr>
          <w:rFonts w:hint="eastAsia" w:ascii="仿宋" w:hAnsi="仿宋" w:eastAsia="仿宋" w:cs="仿宋_GB2312"/>
          <w:sz w:val="32"/>
          <w:szCs w:val="32"/>
        </w:rPr>
        <w:t xml:space="preserve">    </w:t>
      </w:r>
      <w:r>
        <w:rPr>
          <w:rFonts w:ascii="Times New Roman" w:hAnsi="Times New Roman" w:eastAsia="方正仿宋_GBK"/>
          <w:sz w:val="32"/>
          <w:szCs w:val="32"/>
        </w:rPr>
        <w:t>重庆市最低生活保障事务中心是重庆市民政局直属参公事业单位，机构规格为正处级。主要职责是：</w:t>
      </w:r>
    </w:p>
    <w:p>
      <w:pPr>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承担最低生活保障事务工作。主要包括城乡低保、临时救助及其他专项救助工作；社会救助信访和政策宣传工作；全市社会救助领域政府购买服务的指导、评估、监督工作；社会力量参与社会救助服务的机制、渠道建设工作；社会救助服务项目、需求的收集发布工作</w:t>
      </w:r>
      <w:r>
        <w:rPr>
          <w:rFonts w:hint="eastAsia" w:ascii="Times New Roman" w:hAnsi="Times New Roman" w:eastAsia="方正仿宋_GBK"/>
          <w:sz w:val="32"/>
          <w:szCs w:val="32"/>
        </w:rPr>
        <w:t>；承办“民政惠民济困保”项目组织实施工作。</w:t>
      </w:r>
    </w:p>
    <w:p>
      <w:pPr>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承担救助家庭经济状况核查认定事务性工作。负责全市救助家庭经济状况核查的指导、管理、监督等事务性工作；负责对获得和申请社会救助的家庭成员、收入和财产状况进行定期或即时核定；对相关救助管理部门委托事项开展核对并出具报告；开展跨省市及跨区县、跨部门相关信息比对；负责全市核对系统平台建设管理及与其他部门实现信息共享、业务培训等工作。</w:t>
      </w:r>
    </w:p>
    <w:p>
      <w:pPr>
        <w:widowControl/>
        <w:adjustRightInd w:val="0"/>
        <w:snapToGrid w:val="0"/>
        <w:spacing w:line="579" w:lineRule="exact"/>
        <w:ind w:firstLine="640" w:firstLineChars="200"/>
        <w:rPr>
          <w:rFonts w:ascii="方正楷体_GBK" w:hAnsi="Times New Roman" w:eastAsia="方正楷体_GBK"/>
          <w:sz w:val="32"/>
          <w:szCs w:val="32"/>
        </w:rPr>
      </w:pPr>
      <w:r>
        <w:rPr>
          <w:rFonts w:hint="eastAsia" w:ascii="方正楷体_GBK" w:hAnsi="仿宋_GB2312" w:eastAsia="方正楷体_GBK" w:cs="仿宋_GB2312"/>
          <w:sz w:val="32"/>
        </w:rPr>
        <w:t>（二）单位构成</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w:t>
      </w:r>
      <w:r>
        <w:rPr>
          <w:rFonts w:ascii="Times New Roman" w:hAnsi="Times New Roman" w:eastAsia="方正仿宋_GBK"/>
          <w:sz w:val="32"/>
          <w:szCs w:val="32"/>
        </w:rPr>
        <w:t>庆市最低生活保障事务中心内设综合科、核查认定科、社会救助科、信息管理科、系统维护科</w:t>
      </w:r>
      <w:r>
        <w:rPr>
          <w:rFonts w:hint="eastAsia" w:ascii="Times New Roman" w:hAnsi="Times New Roman" w:eastAsia="方正仿宋_GBK"/>
          <w:sz w:val="32"/>
          <w:szCs w:val="32"/>
        </w:rPr>
        <w:t>等5</w:t>
      </w:r>
      <w:r>
        <w:rPr>
          <w:rFonts w:ascii="Times New Roman" w:hAnsi="Times New Roman" w:eastAsia="方正仿宋_GBK"/>
          <w:sz w:val="32"/>
          <w:szCs w:val="32"/>
        </w:rPr>
        <w:t>个科室</w:t>
      </w:r>
      <w:r>
        <w:rPr>
          <w:rFonts w:hint="eastAsia" w:ascii="Times New Roman" w:hAnsi="Times New Roman" w:eastAsia="方正仿宋_GBK"/>
          <w:sz w:val="32"/>
          <w:szCs w:val="32"/>
        </w:rPr>
        <w:t>。</w:t>
      </w:r>
    </w:p>
    <w:p>
      <w:pPr>
        <w:spacing w:line="579" w:lineRule="exact"/>
        <w:ind w:firstLine="640" w:firstLineChars="200"/>
        <w:rPr>
          <w:rFonts w:ascii="方正黑体_GBK" w:eastAsia="方正黑体_GBK" w:cs="仿宋_GB2312"/>
          <w:sz w:val="32"/>
          <w:szCs w:val="32"/>
        </w:rPr>
      </w:pPr>
      <w:r>
        <w:rPr>
          <w:rFonts w:hint="eastAsia" w:ascii="方正黑体_GBK" w:eastAsia="方正黑体_GBK"/>
          <w:sz w:val="32"/>
          <w:szCs w:val="32"/>
        </w:rPr>
        <w:t>二、部门决算情况说明</w:t>
      </w:r>
    </w:p>
    <w:p>
      <w:pPr>
        <w:pStyle w:val="15"/>
        <w:autoSpaceDE w:val="0"/>
        <w:spacing w:beforeAutospacing="0" w:afterAutospacing="0" w:line="579" w:lineRule="exact"/>
        <w:ind w:firstLine="32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（一）收入支出决算总体情况说明</w:t>
      </w:r>
    </w:p>
    <w:p>
      <w:pPr>
        <w:pStyle w:val="15"/>
        <w:autoSpaceDE w:val="0"/>
        <w:spacing w:beforeAutospacing="0" w:afterAutospacing="0" w:line="579" w:lineRule="exact"/>
        <w:ind w:firstLine="64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总体情况。2021年度收入总计759.24万元，支出总计759.24万元。收支较上年决算数增加85.38万元、增长12.7%，主要原因一是新增在职人员经费预算收支；二是年度预算执行中追加了职业年金清缴经费收支。</w:t>
      </w:r>
    </w:p>
    <w:p>
      <w:pPr>
        <w:pStyle w:val="15"/>
        <w:autoSpaceDE w:val="0"/>
        <w:spacing w:beforeAutospacing="0" w:afterAutospacing="0" w:line="579" w:lineRule="exact"/>
        <w:ind w:firstLine="64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收入情况。2021年度收入合计741.22万元，较上年决算数增加79.95万元，增长12.1%，主要原因一是新增在职人员经费预算；二是年度预算执行中追加了职业年金清缴经费预算。其中：财政拨款收入741.22万元，占100%。</w:t>
      </w:r>
    </w:p>
    <w:p>
      <w:pPr>
        <w:pStyle w:val="15"/>
        <w:autoSpaceDE w:val="0"/>
        <w:spacing w:beforeAutospacing="0" w:afterAutospacing="0" w:line="579" w:lineRule="exact"/>
        <w:ind w:firstLine="64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w:t>
      </w:r>
      <w:r>
        <w:rPr>
          <w:rFonts w:ascii="方正仿宋_GBK" w:hAnsi="方正仿宋_GBK" w:eastAsia="方正仿宋_GBK" w:cs="方正仿宋_GBK"/>
          <w:sz w:val="32"/>
          <w:szCs w:val="32"/>
        </w:rPr>
        <w:t>支出情况。2021年度支出合计742.72万元，较上年决算数增加87.18万元，增长13.3%，主要原因一是新增在职人员支出；二是新增职业年金清缴支出。其中：基本支出546.06万元，占73.5%；项目支出196.66万元，占26.5%。</w:t>
      </w:r>
    </w:p>
    <w:p>
      <w:pPr>
        <w:pStyle w:val="15"/>
        <w:autoSpaceDE w:val="0"/>
        <w:spacing w:beforeAutospacing="0" w:afterAutospacing="0" w:line="579" w:lineRule="exact"/>
        <w:ind w:firstLine="640"/>
        <w:jc w:val="both"/>
        <w:rPr>
          <w:rFonts w:hint="default" w:ascii="Times New Roman" w:hAnsi="Times New Roman" w:eastAsia="方正仿宋_GBK"/>
          <w:sz w:val="32"/>
          <w:szCs w:val="32"/>
        </w:rPr>
      </w:pPr>
      <w:r>
        <w:rPr>
          <w:rFonts w:hint="default" w:ascii="方正仿宋_GBK" w:hAnsi="方正仿宋_GBK" w:eastAsia="方正仿宋_GBK" w:cs="方正仿宋_GBK"/>
          <w:sz w:val="32"/>
          <w:szCs w:val="32"/>
        </w:rPr>
        <w:t>4.结转结余情况</w:t>
      </w:r>
      <w:r>
        <w:rPr>
          <w:rFonts w:ascii="方正仿宋_GBK" w:hAnsi="方正仿宋_GBK" w:eastAsia="方正仿宋_GBK" w:cs="方正仿宋_GBK"/>
          <w:sz w:val="32"/>
          <w:szCs w:val="32"/>
        </w:rPr>
        <w:t>。</w:t>
      </w:r>
      <w:r>
        <w:rPr>
          <w:rFonts w:ascii="Times New Roman" w:hAnsi="Times New Roman" w:eastAsia="方正仿宋_GBK"/>
          <w:sz w:val="32"/>
          <w:szCs w:val="32"/>
        </w:rPr>
        <w:t>2021年度年末结转和结余16.52万元，较上年决算数减少1.8</w:t>
      </w:r>
      <w:r>
        <w:rPr>
          <w:rFonts w:hint="default" w:ascii="Times New Roman" w:hAnsi="Times New Roman" w:eastAsia="方正仿宋_GBK"/>
          <w:sz w:val="32"/>
          <w:szCs w:val="32"/>
        </w:rPr>
        <w:t>0</w:t>
      </w:r>
      <w:r>
        <w:rPr>
          <w:rFonts w:ascii="Times New Roman" w:hAnsi="Times New Roman" w:eastAsia="方正仿宋_GBK"/>
          <w:sz w:val="32"/>
          <w:szCs w:val="32"/>
        </w:rPr>
        <w:t>万元，下降9.9%，主要原因是</w:t>
      </w:r>
      <w:r>
        <w:rPr>
          <w:rFonts w:ascii="方正仿宋_GBK" w:hAnsi="方正仿宋_GBK" w:eastAsia="方正仿宋_GBK" w:cs="方正仿宋_GBK"/>
          <w:sz w:val="32"/>
          <w:szCs w:val="32"/>
        </w:rPr>
        <w:t>全面落实市级一般公共支出预算“零结转”政策和加快预算执行进度，结转结余逐年减少</w:t>
      </w:r>
      <w:r>
        <w:rPr>
          <w:rFonts w:ascii="Times New Roman" w:hAnsi="Times New Roman" w:eastAsia="方正仿宋_GBK"/>
          <w:sz w:val="32"/>
          <w:szCs w:val="32"/>
        </w:rPr>
        <w:t>。</w:t>
      </w:r>
    </w:p>
    <w:p>
      <w:pPr>
        <w:pStyle w:val="15"/>
        <w:autoSpaceDE w:val="0"/>
        <w:spacing w:beforeAutospacing="0" w:afterAutospacing="0" w:line="579" w:lineRule="exact"/>
        <w:ind w:firstLine="64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（二）财政拨款收入支出决算总体情况说明</w:t>
      </w:r>
    </w:p>
    <w:p>
      <w:pPr>
        <w:pStyle w:val="15"/>
        <w:autoSpaceDE w:val="0"/>
        <w:spacing w:beforeAutospacing="0" w:afterAutospacing="0" w:line="579"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2021年度财政拨款收、支总计746.91万元。与2020年相比，财政拨款收、支总计各增加86.27万元，增长13.1%。</w:t>
      </w:r>
      <w:r>
        <w:rPr>
          <w:rFonts w:ascii="方正仿宋_GBK" w:hAnsi="方正仿宋_GBK" w:eastAsia="方正仿宋_GBK" w:cs="方正仿宋_GBK"/>
          <w:sz w:val="32"/>
          <w:szCs w:val="32"/>
        </w:rPr>
        <w:t>主要原因一是新增在职人员经费预算收支；二是年度预算执行中追加了职业年金清缴经费收支。</w:t>
      </w:r>
    </w:p>
    <w:p>
      <w:pPr>
        <w:pStyle w:val="15"/>
        <w:numPr>
          <w:ilvl w:val="0"/>
          <w:numId w:val="1"/>
        </w:numPr>
        <w:autoSpaceDE w:val="0"/>
        <w:spacing w:beforeAutospacing="0" w:afterAutospacing="0" w:line="579" w:lineRule="exact"/>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一般公共预算财政拨款支出决算情况说明</w:t>
      </w:r>
    </w:p>
    <w:p>
      <w:pPr>
        <w:pStyle w:val="15"/>
        <w:autoSpaceDE w:val="0"/>
        <w:spacing w:beforeAutospacing="0" w:afterAutospacing="0" w:line="579"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收入情况。2021年度一般公共预算财政拨款收入741.22万元，较上年决算数增加80.75万元，增长12.2%。较年初预算数增加105.32万元，增长16.6%。主要原因一是新增在职人员经费预算；二是年度预算执行中追加了职业年金清缴经费预算。</w:t>
      </w:r>
    </w:p>
    <w:p>
      <w:pPr>
        <w:snapToGrid w:val="0"/>
        <w:spacing w:before="120" w:after="120"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2.支出情况。2021年度一般公共预算财政拨款支出742.11万元，较上年决算数增加87.17万元，增长13.3%。较年初预算数增加106.21万元，增长16.7%。</w:t>
      </w:r>
      <w:r>
        <w:rPr>
          <w:rFonts w:hint="eastAsia" w:ascii="方正仿宋_GBK" w:hAnsi="方正仿宋_GBK" w:eastAsia="方正仿宋_GBK" w:cs="方正仿宋_GBK"/>
          <w:sz w:val="32"/>
          <w:szCs w:val="32"/>
        </w:rPr>
        <w:t>主要原因一</w:t>
      </w:r>
      <w:r>
        <w:rPr>
          <w:rFonts w:ascii="方正仿宋_GBK" w:hAnsi="方正仿宋_GBK" w:eastAsia="方正仿宋_GBK" w:cs="方正仿宋_GBK"/>
          <w:sz w:val="32"/>
          <w:szCs w:val="32"/>
        </w:rPr>
        <w:t>是新增</w:t>
      </w:r>
      <w:r>
        <w:rPr>
          <w:rFonts w:hint="eastAsia" w:ascii="方正仿宋_GBK" w:hAnsi="方正仿宋_GBK" w:eastAsia="方正仿宋_GBK" w:cs="方正仿宋_GBK"/>
          <w:sz w:val="32"/>
          <w:szCs w:val="32"/>
        </w:rPr>
        <w:t>在职人员支出；二是新增</w:t>
      </w:r>
      <w:r>
        <w:rPr>
          <w:rFonts w:ascii="方正仿宋_GBK" w:hAnsi="方正仿宋_GBK" w:eastAsia="方正仿宋_GBK" w:cs="方正仿宋_GBK"/>
          <w:sz w:val="32"/>
          <w:szCs w:val="32"/>
        </w:rPr>
        <w:t>职业年金清</w:t>
      </w:r>
      <w:r>
        <w:rPr>
          <w:rFonts w:hint="eastAsia" w:ascii="方正仿宋_GBK" w:hAnsi="方正仿宋_GBK" w:eastAsia="方正仿宋_GBK" w:cs="方正仿宋_GBK"/>
          <w:sz w:val="32"/>
          <w:szCs w:val="32"/>
        </w:rPr>
        <w:t>缴支出</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w:t>
      </w:r>
    </w:p>
    <w:p>
      <w:pPr>
        <w:snapToGrid w:val="0"/>
        <w:spacing w:before="120" w:after="120"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3.结转结余情况。2021年度年末一般公共预算财政拨款结转和结余4.80万元，较上年决算数减少0.90万元，下降15.8%，主要原因</w:t>
      </w:r>
      <w:r>
        <w:rPr>
          <w:rFonts w:hint="eastAsia" w:ascii="Times New Roman" w:hAnsi="Times New Roman" w:eastAsia="方正仿宋_GBK"/>
          <w:sz w:val="32"/>
          <w:szCs w:val="32"/>
        </w:rPr>
        <w:t>是</w:t>
      </w:r>
      <w:r>
        <w:rPr>
          <w:rFonts w:ascii="方正仿宋_GBK" w:hAnsi="方正仿宋_GBK" w:eastAsia="方正仿宋_GBK" w:cs="方正仿宋_GBK"/>
          <w:sz w:val="32"/>
          <w:szCs w:val="32"/>
        </w:rPr>
        <w:t>全面落实市级一般公共支出预算“零结转”政策和加快预算执行进度，结转结余逐年减少</w:t>
      </w:r>
      <w:r>
        <w:rPr>
          <w:rFonts w:ascii="Times New Roman" w:hAnsi="Times New Roman" w:eastAsia="方正仿宋_GBK"/>
          <w:sz w:val="32"/>
          <w:szCs w:val="32"/>
        </w:rPr>
        <w:t>。</w:t>
      </w:r>
    </w:p>
    <w:p>
      <w:pPr>
        <w:pStyle w:val="7"/>
        <w:shd w:val="clear" w:color="auto" w:fill="FFFFFF"/>
        <w:ind w:right="210" w:firstLine="640" w:firstLineChars="200"/>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 xml:space="preserve">4.比较情况。本部门2021年度一般公共预算财政拨款支出主要用于以下几个方面： </w:t>
      </w:r>
    </w:p>
    <w:p>
      <w:pPr>
        <w:pStyle w:val="7"/>
        <w:shd w:val="clear" w:color="auto" w:fill="FFFFFF"/>
        <w:ind w:left="210" w:right="210"/>
        <w:rPr>
          <w:rFonts w:ascii="方正仿宋_GBK" w:hAnsi="方正仿宋_GBK" w:eastAsia="方正仿宋_GBK" w:cs="方正仿宋_GBK"/>
          <w:sz w:val="32"/>
          <w:szCs w:val="32"/>
        </w:rPr>
      </w:pPr>
      <w:r>
        <w:rPr>
          <w:rFonts w:ascii="Cambria" w:hAnsi="Cambria" w:eastAsia="方正仿宋_GBK" w:cs="Cambria"/>
          <w:kern w:val="2"/>
          <w:sz w:val="32"/>
          <w:szCs w:val="32"/>
        </w:rPr>
        <w:t> </w:t>
      </w:r>
      <w:r>
        <w:rPr>
          <w:rFonts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kern w:val="2"/>
          <w:sz w:val="32"/>
          <w:szCs w:val="32"/>
          <w:lang w:val="en-US" w:eastAsia="zh-CN"/>
        </w:rPr>
        <w:t xml:space="preserve"> </w:t>
      </w:r>
      <w:r>
        <w:rPr>
          <w:rFonts w:ascii="方正仿宋_GBK" w:hAnsi="方正仿宋_GBK" w:eastAsia="方正仿宋_GBK" w:cs="方正仿宋_GBK"/>
          <w:kern w:val="2"/>
          <w:sz w:val="32"/>
          <w:szCs w:val="32"/>
        </w:rPr>
        <w:t>（1）社会保障与就业支出675.74万元，占91.1%，较年初预算数增加81.11万元，增长13.6%，</w:t>
      </w:r>
      <w:r>
        <w:rPr>
          <w:rFonts w:hint="eastAsia" w:ascii="方正仿宋_GBK" w:hAnsi="方正仿宋_GBK" w:eastAsia="方正仿宋_GBK" w:cs="方正仿宋_GBK"/>
          <w:sz w:val="32"/>
          <w:szCs w:val="32"/>
        </w:rPr>
        <w:t>主要原因是新增在职人员经费和</w:t>
      </w:r>
      <w:r>
        <w:rPr>
          <w:rFonts w:ascii="方正仿宋_GBK" w:hAnsi="方正仿宋_GBK" w:eastAsia="方正仿宋_GBK" w:cs="方正仿宋_GBK"/>
          <w:sz w:val="32"/>
          <w:szCs w:val="32"/>
        </w:rPr>
        <w:t>职业年金清</w:t>
      </w:r>
      <w:r>
        <w:rPr>
          <w:rFonts w:hint="eastAsia" w:ascii="方正仿宋_GBK" w:hAnsi="方正仿宋_GBK" w:eastAsia="方正仿宋_GBK" w:cs="方正仿宋_GBK"/>
          <w:sz w:val="32"/>
          <w:szCs w:val="32"/>
        </w:rPr>
        <w:t>缴支出</w:t>
      </w:r>
      <w:r>
        <w:rPr>
          <w:rFonts w:ascii="方正仿宋_GBK" w:hAnsi="方正仿宋_GBK" w:eastAsia="方正仿宋_GBK" w:cs="方正仿宋_GBK"/>
          <w:sz w:val="32"/>
          <w:szCs w:val="32"/>
        </w:rPr>
        <w:t>。</w:t>
      </w:r>
    </w:p>
    <w:p>
      <w:pPr>
        <w:pStyle w:val="7"/>
        <w:shd w:val="clear" w:color="auto" w:fill="FFFFFF"/>
        <w:ind w:left="210" w:right="210"/>
        <w:rPr>
          <w:rFonts w:ascii="方正仿宋_GBK" w:hAnsi="方正仿宋_GBK" w:eastAsia="方正仿宋_GBK" w:cs="方正仿宋_GBK"/>
          <w:kern w:val="2"/>
          <w:sz w:val="32"/>
          <w:szCs w:val="32"/>
        </w:rPr>
      </w:pPr>
      <w:r>
        <w:rPr>
          <w:rFonts w:ascii="Cambria" w:hAnsi="Cambria" w:eastAsia="方正仿宋_GBK" w:cs="Cambria"/>
          <w:kern w:val="2"/>
          <w:sz w:val="32"/>
          <w:szCs w:val="32"/>
        </w:rPr>
        <w:t> </w:t>
      </w:r>
      <w:r>
        <w:rPr>
          <w:rFonts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kern w:val="2"/>
          <w:sz w:val="32"/>
          <w:szCs w:val="32"/>
          <w:lang w:val="en-US" w:eastAsia="zh-CN"/>
        </w:rPr>
        <w:t xml:space="preserve"> </w:t>
      </w:r>
      <w:r>
        <w:rPr>
          <w:rFonts w:ascii="方正仿宋_GBK" w:hAnsi="方正仿宋_GBK" w:eastAsia="方正仿宋_GBK" w:cs="方正仿宋_GBK"/>
          <w:kern w:val="2"/>
          <w:sz w:val="32"/>
          <w:szCs w:val="32"/>
        </w:rPr>
        <w:t>（2）卫生健康支出26.59万元，占3.6%，较年初预算数增加6.39万元，增长31.6%，主要原因</w:t>
      </w:r>
      <w:r>
        <w:rPr>
          <w:rFonts w:hint="eastAsia" w:ascii="方正仿宋_GBK" w:hAnsi="方正仿宋_GBK" w:eastAsia="方正仿宋_GBK" w:cs="方正仿宋_GBK"/>
          <w:kern w:val="2"/>
          <w:sz w:val="32"/>
          <w:szCs w:val="32"/>
        </w:rPr>
        <w:t>是新增在职人员</w:t>
      </w:r>
      <w:r>
        <w:rPr>
          <w:rFonts w:ascii="方正仿宋_GBK" w:hAnsi="方正仿宋_GBK" w:eastAsia="方正仿宋_GBK" w:cs="方正仿宋_GBK"/>
          <w:kern w:val="2"/>
          <w:sz w:val="32"/>
          <w:szCs w:val="32"/>
        </w:rPr>
        <w:t>。</w:t>
      </w:r>
    </w:p>
    <w:p>
      <w:pPr>
        <w:pStyle w:val="7"/>
        <w:shd w:val="clear" w:color="auto" w:fill="FFFFFF"/>
        <w:ind w:left="210" w:right="210"/>
        <w:rPr>
          <w:rFonts w:ascii="方正仿宋_GBK" w:hAnsi="方正仿宋_GBK" w:eastAsia="方正仿宋_GBK" w:cs="方正仿宋_GBK"/>
          <w:kern w:val="2"/>
          <w:sz w:val="32"/>
          <w:szCs w:val="32"/>
        </w:rPr>
      </w:pPr>
      <w:r>
        <w:rPr>
          <w:rFonts w:ascii="Cambria" w:hAnsi="Cambria" w:eastAsia="方正仿宋_GBK" w:cs="Cambria"/>
          <w:kern w:val="2"/>
          <w:sz w:val="32"/>
          <w:szCs w:val="32"/>
        </w:rPr>
        <w:t> </w:t>
      </w:r>
      <w:r>
        <w:rPr>
          <w:rFonts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kern w:val="2"/>
          <w:sz w:val="32"/>
          <w:szCs w:val="32"/>
          <w:lang w:val="en-US" w:eastAsia="zh-CN"/>
        </w:rPr>
        <w:t xml:space="preserve">  </w:t>
      </w:r>
      <w:r>
        <w:rPr>
          <w:rFonts w:ascii="方正仿宋_GBK" w:hAnsi="方正仿宋_GBK" w:eastAsia="方正仿宋_GBK" w:cs="方正仿宋_GBK"/>
          <w:kern w:val="2"/>
          <w:sz w:val="32"/>
          <w:szCs w:val="32"/>
        </w:rPr>
        <w:t>（3）住房保障支出39.78万元，占5.4%，较年初预算数增加18.71万元，增长88.8%，主要原因</w:t>
      </w:r>
      <w:r>
        <w:rPr>
          <w:rFonts w:hint="eastAsia" w:ascii="方正仿宋_GBK" w:hAnsi="方正仿宋_GBK" w:eastAsia="方正仿宋_GBK" w:cs="方正仿宋_GBK"/>
          <w:kern w:val="2"/>
          <w:sz w:val="32"/>
          <w:szCs w:val="32"/>
        </w:rPr>
        <w:t>是新增在职人员</w:t>
      </w:r>
      <w:r>
        <w:rPr>
          <w:rFonts w:ascii="方正仿宋_GBK" w:hAnsi="方正仿宋_GBK" w:eastAsia="方正仿宋_GBK" w:cs="方正仿宋_GBK"/>
          <w:kern w:val="2"/>
          <w:sz w:val="32"/>
          <w:szCs w:val="32"/>
        </w:rPr>
        <w:t>。</w:t>
      </w:r>
    </w:p>
    <w:p>
      <w:pPr>
        <w:pStyle w:val="16"/>
        <w:autoSpaceDE w:val="0"/>
        <w:spacing w:beforeAutospacing="0" w:afterAutospacing="0" w:line="579" w:lineRule="exact"/>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 xml:space="preserve">    （四）一般公共预算财政拨款基本支出决算情况说明</w:t>
      </w:r>
    </w:p>
    <w:p>
      <w:pPr>
        <w:pStyle w:val="7"/>
        <w:shd w:val="clear" w:color="auto" w:fill="FFFFFF"/>
        <w:ind w:left="210" w:right="210"/>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 xml:space="preserve">    2021年度一般公共财政拨款基本支出546.06万元。其中：人员经费461.72万元，较上年决算数增加96.49万元，增长26.4%，</w:t>
      </w:r>
      <w:r>
        <w:rPr>
          <w:rFonts w:hint="eastAsia" w:ascii="方正仿宋_GBK" w:hAnsi="方正仿宋_GBK" w:eastAsia="方正仿宋_GBK" w:cs="方正仿宋_GBK"/>
          <w:sz w:val="32"/>
          <w:szCs w:val="32"/>
        </w:rPr>
        <w:t>主要原因是新增在职人员经费和</w:t>
      </w:r>
      <w:r>
        <w:rPr>
          <w:rFonts w:ascii="方正仿宋_GBK" w:hAnsi="方正仿宋_GBK" w:eastAsia="方正仿宋_GBK" w:cs="方正仿宋_GBK"/>
          <w:sz w:val="32"/>
          <w:szCs w:val="32"/>
        </w:rPr>
        <w:t>职业年金清</w:t>
      </w:r>
      <w:r>
        <w:rPr>
          <w:rFonts w:hint="eastAsia" w:ascii="方正仿宋_GBK" w:hAnsi="方正仿宋_GBK" w:eastAsia="方正仿宋_GBK" w:cs="方正仿宋_GBK"/>
          <w:sz w:val="32"/>
          <w:szCs w:val="32"/>
        </w:rPr>
        <w:t>缴支出。</w:t>
      </w:r>
      <w:r>
        <w:rPr>
          <w:rFonts w:ascii="方正仿宋_GBK" w:hAnsi="方正仿宋_GBK" w:eastAsia="方正仿宋_GBK" w:cs="方正仿宋_GBK"/>
          <w:kern w:val="2"/>
          <w:sz w:val="32"/>
          <w:szCs w:val="32"/>
        </w:rPr>
        <w:t>人员经费用途主要包括基本工资、津贴补贴、奖金、社会保障缴费、绩效工资、机关事业单位基本养老保险缴费、职业年金缴费、其他工资福利支出、离休费、抚恤金、生活补助、救济费、医疗费、奖励金、住房公积金、其他对个人和家庭补助支出等。公用经费84.34万元，较上年决算数减少15.91万元，下降15.9%，主要原因是厉行节约，</w:t>
      </w:r>
      <w:r>
        <w:rPr>
          <w:rFonts w:hint="eastAsia" w:ascii="方正仿宋_GBK" w:hAnsi="方正仿宋_GBK" w:eastAsia="方正仿宋_GBK" w:cs="方正仿宋_GBK"/>
          <w:kern w:val="2"/>
          <w:sz w:val="32"/>
          <w:szCs w:val="32"/>
        </w:rPr>
        <w:t>压缩</w:t>
      </w:r>
      <w:r>
        <w:rPr>
          <w:rFonts w:ascii="方正仿宋_GBK" w:hAnsi="方正仿宋_GBK" w:eastAsia="方正仿宋_GBK" w:cs="方正仿宋_GBK"/>
          <w:kern w:val="2"/>
          <w:sz w:val="32"/>
          <w:szCs w:val="32"/>
        </w:rPr>
        <w:t>一般</w:t>
      </w:r>
      <w:r>
        <w:rPr>
          <w:rFonts w:hint="eastAsia" w:ascii="方正仿宋_GBK" w:hAnsi="方正仿宋_GBK" w:eastAsia="方正仿宋_GBK" w:cs="方正仿宋_GBK"/>
          <w:kern w:val="2"/>
          <w:sz w:val="32"/>
          <w:szCs w:val="32"/>
        </w:rPr>
        <w:t>性</w:t>
      </w:r>
      <w:r>
        <w:rPr>
          <w:rFonts w:ascii="方正仿宋_GBK" w:hAnsi="方正仿宋_GBK" w:eastAsia="方正仿宋_GBK" w:cs="方正仿宋_GBK"/>
          <w:kern w:val="2"/>
          <w:sz w:val="32"/>
          <w:szCs w:val="32"/>
        </w:rPr>
        <w:t>支出。公用经费用途主要包括办公费、印刷费、咨询费、手续费、水费、电费、邮电费、物业管理费、差旅费、因公出国（境）费用、维修（护）费、租赁费、会议费、培训费、公务接待费、劳务费、公务用车运行维护费、其他交通费、其他商品和服务支出、办公设备购置、信息网络及软件购置更新、其他资本性支出等。</w:t>
      </w:r>
    </w:p>
    <w:p>
      <w:pPr>
        <w:pStyle w:val="16"/>
        <w:autoSpaceDE w:val="0"/>
        <w:spacing w:beforeAutospacing="0" w:afterAutospacing="0" w:line="579" w:lineRule="exact"/>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 xml:space="preserve">    （五）政府性基金预算收支决算情况说明</w:t>
      </w:r>
    </w:p>
    <w:p>
      <w:pPr>
        <w:pStyle w:val="16"/>
        <w:autoSpaceDE w:val="0"/>
        <w:spacing w:beforeAutospacing="0" w:afterAutospacing="0" w:line="579" w:lineRule="exact"/>
        <w:ind w:firstLine="57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本</w:t>
      </w:r>
      <w:r>
        <w:rPr>
          <w:rFonts w:ascii="方正仿宋_GBK" w:hAnsi="方正仿宋_GBK" w:eastAsia="方正仿宋_GBK" w:cs="方正仿宋_GBK"/>
          <w:sz w:val="32"/>
          <w:szCs w:val="32"/>
        </w:rPr>
        <w:t>单位</w:t>
      </w:r>
      <w:r>
        <w:rPr>
          <w:rFonts w:hint="default" w:ascii="Times New Roman" w:hAnsi="Times New Roman" w:eastAsia="方正仿宋_GBK"/>
          <w:sz w:val="32"/>
          <w:szCs w:val="32"/>
        </w:rPr>
        <w:t>2021</w:t>
      </w:r>
      <w:r>
        <w:rPr>
          <w:rFonts w:ascii="方正仿宋_GBK" w:hAnsi="方正仿宋_GBK" w:eastAsia="方正仿宋_GBK" w:cs="方正仿宋_GBK"/>
          <w:sz w:val="32"/>
          <w:szCs w:val="32"/>
        </w:rPr>
        <w:t>年度无政府性基金预算财政拨款收支。</w:t>
      </w:r>
    </w:p>
    <w:p>
      <w:pPr>
        <w:pStyle w:val="16"/>
        <w:autoSpaceDE w:val="0"/>
        <w:spacing w:beforeAutospacing="0" w:afterAutospacing="0" w:line="579"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（六）国有资本经营预算财政拨款支决算情况说明。</w:t>
      </w:r>
    </w:p>
    <w:p>
      <w:pPr>
        <w:pStyle w:val="16"/>
        <w:autoSpaceDE w:val="0"/>
        <w:spacing w:beforeAutospacing="0" w:afterAutospacing="0" w:line="579" w:lineRule="exact"/>
        <w:ind w:firstLine="57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本</w:t>
      </w:r>
      <w:r>
        <w:rPr>
          <w:rFonts w:ascii="方正仿宋_GBK" w:hAnsi="方正仿宋_GBK" w:eastAsia="方正仿宋_GBK" w:cs="方正仿宋_GBK"/>
          <w:sz w:val="32"/>
          <w:szCs w:val="32"/>
        </w:rPr>
        <w:t>单位2021年度无国有资本经营预算财政拨款支出。</w:t>
      </w:r>
    </w:p>
    <w:p>
      <w:pPr>
        <w:pStyle w:val="16"/>
        <w:autoSpaceDE w:val="0"/>
        <w:spacing w:beforeAutospacing="0" w:afterAutospacing="0" w:line="579" w:lineRule="exact"/>
        <w:ind w:firstLine="570"/>
        <w:jc w:val="both"/>
        <w:rPr>
          <w:rFonts w:hint="default" w:ascii="方正黑体_GBK" w:hAnsi="方正小标宋_GBK" w:eastAsia="方正黑体_GBK" w:cs="方正小标宋_GBK"/>
          <w:sz w:val="32"/>
          <w:szCs w:val="32"/>
        </w:rPr>
      </w:pPr>
      <w:r>
        <w:rPr>
          <w:rStyle w:val="17"/>
          <w:rFonts w:hint="eastAsia" w:ascii="方正黑体_GBK" w:eastAsia="方正黑体_GBK" w:cs="宋体"/>
          <w:sz w:val="36"/>
          <w:szCs w:val="36"/>
          <w:shd w:val="clear" w:color="auto" w:fill="FFFFFF"/>
        </w:rPr>
        <w:t xml:space="preserve"> </w:t>
      </w:r>
      <w:r>
        <w:rPr>
          <w:rFonts w:ascii="方正黑体_GBK" w:hAnsi="方正小标宋_GBK" w:eastAsia="方正黑体_GBK" w:cs="方正小标宋_GBK"/>
          <w:sz w:val="32"/>
          <w:szCs w:val="32"/>
        </w:rPr>
        <w:t>三、“三公”经费情况说明</w:t>
      </w:r>
    </w:p>
    <w:p>
      <w:pPr>
        <w:pStyle w:val="16"/>
        <w:autoSpaceDE w:val="0"/>
        <w:spacing w:beforeAutospacing="0" w:afterAutospacing="0" w:line="579" w:lineRule="exact"/>
        <w:ind w:firstLine="64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（一）“三公”经费支出总体情况说明</w:t>
      </w:r>
    </w:p>
    <w:p>
      <w:pPr>
        <w:pStyle w:val="16"/>
        <w:autoSpaceDE w:val="0"/>
        <w:spacing w:beforeAutospacing="0" w:afterAutospacing="0" w:line="579" w:lineRule="exact"/>
        <w:ind w:firstLine="57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2021年度“三公”经费支出共计2.07万元，较年初预算数减少4.53万元，下降68.6%，主要原因是严格贯彻落实</w:t>
      </w:r>
      <w:r>
        <w:rPr>
          <w:rFonts w:hint="eastAsia" w:ascii="方正仿宋_GBK" w:hAnsi="方正仿宋_GBK" w:eastAsia="方正仿宋_GBK" w:cs="方正仿宋_GBK"/>
          <w:sz w:val="32"/>
          <w:szCs w:val="32"/>
        </w:rPr>
        <w:t>中央八项规定精神</w:t>
      </w:r>
      <w:r>
        <w:rPr>
          <w:rFonts w:ascii="方正仿宋_GBK" w:hAnsi="方正仿宋_GBK" w:eastAsia="方正仿宋_GBK" w:cs="方正仿宋_GBK"/>
          <w:sz w:val="32"/>
          <w:szCs w:val="32"/>
        </w:rPr>
        <w:t>和厉行节约要求，全年实际支出较预算下降。较上年支出数增加0.05万元，增长2.5%，主要原因是根据工作需要增加到区县调研次数，公务用车使用量增加，导致公务车运行维护费增加。</w:t>
      </w:r>
    </w:p>
    <w:p>
      <w:pPr>
        <w:autoSpaceDE w:val="0"/>
        <w:spacing w:line="579" w:lineRule="exact"/>
        <w:ind w:firstLine="640"/>
        <w:rPr>
          <w:rFonts w:ascii="方正楷体_GBK" w:hAnsi="方正仿宋_GBK" w:eastAsia="方正楷体_GBK" w:cs="方正仿宋_GBK"/>
          <w:sz w:val="32"/>
          <w:szCs w:val="32"/>
        </w:rPr>
      </w:pPr>
      <w:r>
        <w:rPr>
          <w:rFonts w:ascii="方正楷体_GBK" w:hAnsi="方正仿宋_GBK" w:eastAsia="方正楷体_GBK" w:cs="方正仿宋_GBK"/>
          <w:sz w:val="32"/>
          <w:szCs w:val="32"/>
        </w:rPr>
        <w:t>（二）“三公”经费分项支出情况</w:t>
      </w:r>
      <w:bookmarkStart w:id="0" w:name="_GoBack"/>
      <w:bookmarkEnd w:id="0"/>
    </w:p>
    <w:p>
      <w:pPr>
        <w:pStyle w:val="7"/>
        <w:shd w:val="clear" w:color="auto" w:fill="FFFFFF"/>
        <w:ind w:right="21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2021年度</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sz w:val="32"/>
          <w:szCs w:val="32"/>
        </w:rPr>
        <w:t>因公出国（境）费用</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万元，费用支出较年初预算数增加</w:t>
      </w:r>
      <w:r>
        <w:rPr>
          <w:rFonts w:ascii="方正仿宋_GBK" w:hAnsi="方正仿宋_GBK" w:eastAsia="方正仿宋_GBK" w:cs="方正仿宋_GBK"/>
          <w:sz w:val="32"/>
          <w:szCs w:val="32"/>
        </w:rPr>
        <w:t xml:space="preserve">0 </w:t>
      </w:r>
      <w:r>
        <w:rPr>
          <w:rFonts w:hint="eastAsia" w:ascii="方正仿宋_GBK" w:hAnsi="方正仿宋_GBK" w:eastAsia="方正仿宋_GBK" w:cs="方正仿宋_GBK"/>
          <w:sz w:val="32"/>
          <w:szCs w:val="32"/>
        </w:rPr>
        <w:t>万元， 与年初预算持平；较上年支出数增加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 xml:space="preserve"> 万元，与上年持平，主要原因是当年未预算因公出国（境）费用支出。</w:t>
      </w:r>
    </w:p>
    <w:p>
      <w:pPr>
        <w:pStyle w:val="7"/>
        <w:shd w:val="clear" w:color="auto" w:fill="FFFFFF"/>
        <w:ind w:right="21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公务车购置费</w:t>
      </w:r>
      <w:r>
        <w:rPr>
          <w:rFonts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万元，费用支出较年初预算数增加</w:t>
      </w:r>
      <w:r>
        <w:rPr>
          <w:rFonts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万元，与年初预算持平，较上年支出数增加</w:t>
      </w:r>
      <w:r>
        <w:rPr>
          <w:rFonts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万元，与上年持平，主要原因是当年未购置公务车。</w:t>
      </w:r>
    </w:p>
    <w:p>
      <w:pPr>
        <w:pStyle w:val="16"/>
        <w:autoSpaceDE w:val="0"/>
        <w:spacing w:beforeAutospacing="0" w:afterAutospacing="0" w:line="579" w:lineRule="exact"/>
        <w:ind w:firstLine="570"/>
        <w:jc w:val="both"/>
        <w:rPr>
          <w:rFonts w:hint="default" w:ascii="方正仿宋_GBK" w:hAnsi="方正仿宋_GBK" w:eastAsia="方正仿宋_GBK" w:cs="方正仿宋_GBK"/>
          <w:sz w:val="32"/>
          <w:szCs w:val="32"/>
          <w:shd w:val="clear" w:color="auto" w:fill="FFFFFF"/>
        </w:rPr>
      </w:pPr>
      <w:r>
        <w:rPr>
          <w:rFonts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运行维护费1.96万元，主要用于机要文件交换、市内因公出行等工作所需车辆的燃料费、维修费、过桥过路费、保险费等。费用支出较年初预算数减少2.64万元，下降57.4%，主要原因是严格落实公车使用规定，严禁公车私用，公车运行成本下降等。较上年支出数增加0.10万元，增长5.4%，主要原因</w:t>
      </w:r>
      <w:r>
        <w:rPr>
          <w:rFonts w:ascii="方正仿宋_GBK" w:hAnsi="方正仿宋_GBK" w:eastAsia="方正仿宋_GBK" w:cs="方正仿宋_GBK"/>
          <w:sz w:val="32"/>
          <w:szCs w:val="32"/>
        </w:rPr>
        <w:t>是根据工作需要增加到区县调研次数，公务用车使用量增加，导致公务车运行维护费增加。</w:t>
      </w:r>
    </w:p>
    <w:p>
      <w:pPr>
        <w:pStyle w:val="7"/>
        <w:shd w:val="clear" w:color="auto" w:fill="FFFFFF"/>
        <w:ind w:left="210" w:right="21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公务接待费0.11万元，主要用于国内相关单位交流工作发生的接待支出。费用支出较年初预算数减少1.89万元，下降94.5%，主要原因</w:t>
      </w:r>
      <w:r>
        <w:rPr>
          <w:rFonts w:hint="eastAsia" w:ascii="方正仿宋_GBK" w:hAnsi="方正仿宋_GBK" w:eastAsia="方正仿宋_GBK" w:cs="方正仿宋_GBK"/>
          <w:sz w:val="32"/>
          <w:szCs w:val="32"/>
          <w:shd w:val="clear" w:color="auto" w:fill="FFFFFF"/>
        </w:rPr>
        <w:t>是</w:t>
      </w:r>
      <w:r>
        <w:rPr>
          <w:rFonts w:ascii="方正仿宋_GBK" w:hAnsi="方正仿宋_GBK" w:eastAsia="方正仿宋_GBK" w:cs="方正仿宋_GBK"/>
          <w:sz w:val="32"/>
          <w:szCs w:val="32"/>
          <w:shd w:val="clear" w:color="auto" w:fill="FFFFFF"/>
        </w:rPr>
        <w:t>严格执行公务接待开支范围和开支标准，严格控制陪餐人数，公务接待费用较年初预算下降。较上年支出数减少0.05万元，下降31.3%，主要原因是</w:t>
      </w:r>
      <w:r>
        <w:rPr>
          <w:rFonts w:hint="eastAsia" w:ascii="方正仿宋_GBK" w:hAnsi="方正仿宋_GBK" w:eastAsia="方正仿宋_GBK" w:cs="方正仿宋_GBK"/>
          <w:sz w:val="32"/>
          <w:szCs w:val="32"/>
          <w:shd w:val="clear" w:color="auto" w:fill="FFFFFF"/>
        </w:rPr>
        <w:t>本年接待的批次和人次比上年减少。</w:t>
      </w:r>
    </w:p>
    <w:p>
      <w:pPr>
        <w:pStyle w:val="16"/>
        <w:autoSpaceDE w:val="0"/>
        <w:spacing w:beforeAutospacing="0" w:afterAutospacing="0" w:line="579" w:lineRule="exact"/>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 xml:space="preserve">    （三）“三公”经费实物量情况</w:t>
      </w:r>
    </w:p>
    <w:p>
      <w:pPr>
        <w:pStyle w:val="16"/>
        <w:autoSpaceDE w:val="0"/>
        <w:spacing w:beforeAutospacing="0" w:afterAutospacing="0" w:line="579" w:lineRule="exact"/>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 xml:space="preserve"> </w:t>
      </w:r>
      <w:r>
        <w:rPr>
          <w:rFonts w:ascii="Times New Roman" w:hAnsi="Times New Roman" w:eastAsia="方正仿宋_GBK"/>
          <w:sz w:val="32"/>
          <w:szCs w:val="32"/>
        </w:rPr>
        <w:t>2021年度本部门因公出国（境）共计0个团组，0人；公务用车购置0辆，公务车保有量为1辆；国内公务接待1批次12人，其中：国内外事接待0批次，0人；国（境）外公务接待0批次，0人。2021年本部门人均接待费91.33元，车均购置费0万元，车均维护费1.96万元。</w:t>
      </w:r>
    </w:p>
    <w:p>
      <w:pPr>
        <w:pStyle w:val="16"/>
        <w:autoSpaceDE w:val="0"/>
        <w:spacing w:beforeAutospacing="0" w:afterAutospacing="0" w:line="579" w:lineRule="exact"/>
        <w:ind w:firstLine="570"/>
        <w:jc w:val="both"/>
        <w:rPr>
          <w:rFonts w:hint="default" w:ascii="方正黑体_GBK" w:hAnsi="方正小标宋_GBK" w:eastAsia="方正黑体_GBK" w:cs="方正小标宋_GBK"/>
          <w:sz w:val="32"/>
          <w:szCs w:val="32"/>
        </w:rPr>
      </w:pPr>
      <w:r>
        <w:rPr>
          <w:rFonts w:ascii="方正黑体_GBK" w:hAnsi="方正小标宋_GBK" w:eastAsia="方正黑体_GBK" w:cs="方正小标宋_GBK"/>
          <w:sz w:val="32"/>
          <w:szCs w:val="32"/>
        </w:rPr>
        <w:t>四、其他需要说明的事项</w:t>
      </w:r>
    </w:p>
    <w:p>
      <w:pPr>
        <w:pStyle w:val="16"/>
        <w:autoSpaceDE w:val="0"/>
        <w:spacing w:beforeAutospacing="0" w:afterAutospacing="0" w:line="579" w:lineRule="exact"/>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 xml:space="preserve">    （一）一般公共预算财政拨款会议费和培训费情况说明</w:t>
      </w:r>
    </w:p>
    <w:p>
      <w:pPr>
        <w:snapToGrid w:val="0"/>
        <w:spacing w:before="120" w:after="120" w:line="360" w:lineRule="auto"/>
        <w:ind w:firstLine="645"/>
        <w:rPr>
          <w:rFonts w:ascii="Times New Roman" w:hAnsi="Times New Roman" w:eastAsia="方正仿宋_GBK"/>
          <w:kern w:val="0"/>
          <w:sz w:val="32"/>
          <w:szCs w:val="32"/>
        </w:rPr>
      </w:pPr>
      <w:r>
        <w:rPr>
          <w:rFonts w:ascii="Times New Roman" w:hAnsi="Times New Roman" w:eastAsia="方正仿宋_GBK"/>
          <w:kern w:val="0"/>
          <w:sz w:val="32"/>
          <w:szCs w:val="32"/>
        </w:rPr>
        <w:t>  本年度会议费支出5.54万元，较上年决算数增加4.38万元，增长377.6%，主要原因是</w:t>
      </w:r>
      <w:r>
        <w:rPr>
          <w:rFonts w:hint="eastAsia" w:ascii="Times New Roman" w:hAnsi="Times New Roman" w:eastAsia="方正仿宋_GBK"/>
          <w:kern w:val="0"/>
          <w:sz w:val="32"/>
          <w:szCs w:val="32"/>
        </w:rPr>
        <w:t>本年受疫情影响减小，线下会议次数增加。</w:t>
      </w:r>
      <w:r>
        <w:rPr>
          <w:rFonts w:ascii="Times New Roman" w:hAnsi="Times New Roman" w:eastAsia="方正仿宋_GBK"/>
          <w:kern w:val="0"/>
          <w:sz w:val="32"/>
          <w:szCs w:val="32"/>
        </w:rPr>
        <w:t>本年度培训费支出6.75万元，较上年决算数减少5.70万元，下降45.8%，主要原因是</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021</w:t>
      </w:r>
      <w:r>
        <w:rPr>
          <w:rFonts w:hint="eastAsia" w:ascii="Times New Roman" w:hAnsi="Times New Roman" w:eastAsia="方正仿宋_GBK"/>
          <w:kern w:val="0"/>
          <w:sz w:val="32"/>
          <w:szCs w:val="32"/>
        </w:rPr>
        <w:t>年四季度疫情反弹，线下培训改为线上培训，培训费减少。</w:t>
      </w:r>
    </w:p>
    <w:p>
      <w:pPr>
        <w:pStyle w:val="16"/>
        <w:autoSpaceDE w:val="0"/>
        <w:spacing w:beforeAutospacing="0" w:afterAutospacing="0" w:line="579" w:lineRule="exact"/>
        <w:ind w:firstLine="64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（二）机关运行经费情况说明</w:t>
      </w:r>
    </w:p>
    <w:p>
      <w:pPr>
        <w:pStyle w:val="7"/>
        <w:shd w:val="clear" w:color="auto" w:fill="FFFFFF"/>
        <w:ind w:left="210" w:right="2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2021年度本</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rPr>
        <w:t>机关运行经费支出84.34万元，机关运行经费主要用于开支办公费、印刷费、咨询费、手续费、水费、邮电费、取暖费、物业管理费、差旅费、因公出国（境）费、维修（护）费、租赁费、会议费、培训费、公务接待费、劳务费、工会经费、福利费、公务车运行维护费、其他交通费、税金及附加费用、其他商品和服务支出等。机关运行经费较上年决算数减少15.91万元，下降15.9%，</w:t>
      </w:r>
      <w:r>
        <w:rPr>
          <w:rFonts w:ascii="方正仿宋_GBK" w:hAnsi="方正仿宋_GBK" w:eastAsia="方正仿宋_GBK" w:cs="方正仿宋_GBK"/>
          <w:kern w:val="2"/>
          <w:sz w:val="32"/>
          <w:szCs w:val="32"/>
        </w:rPr>
        <w:t>主要原因是厉行节约，</w:t>
      </w:r>
      <w:r>
        <w:rPr>
          <w:rFonts w:hint="eastAsia" w:ascii="方正仿宋_GBK" w:hAnsi="方正仿宋_GBK" w:eastAsia="方正仿宋_GBK" w:cs="方正仿宋_GBK"/>
          <w:kern w:val="2"/>
          <w:sz w:val="32"/>
          <w:szCs w:val="32"/>
        </w:rPr>
        <w:t>压缩</w:t>
      </w:r>
      <w:r>
        <w:rPr>
          <w:rFonts w:ascii="方正仿宋_GBK" w:hAnsi="方正仿宋_GBK" w:eastAsia="方正仿宋_GBK" w:cs="方正仿宋_GBK"/>
          <w:kern w:val="2"/>
          <w:sz w:val="32"/>
          <w:szCs w:val="32"/>
        </w:rPr>
        <w:t>一般</w:t>
      </w:r>
      <w:r>
        <w:rPr>
          <w:rFonts w:hint="eastAsia" w:ascii="方正仿宋_GBK" w:hAnsi="方正仿宋_GBK" w:eastAsia="方正仿宋_GBK" w:cs="方正仿宋_GBK"/>
          <w:kern w:val="2"/>
          <w:sz w:val="32"/>
          <w:szCs w:val="32"/>
        </w:rPr>
        <w:t>性</w:t>
      </w:r>
      <w:r>
        <w:rPr>
          <w:rFonts w:ascii="方正仿宋_GBK" w:hAnsi="方正仿宋_GBK" w:eastAsia="方正仿宋_GBK" w:cs="方正仿宋_GBK"/>
          <w:kern w:val="2"/>
          <w:sz w:val="32"/>
          <w:szCs w:val="32"/>
        </w:rPr>
        <w:t>支出。</w:t>
      </w:r>
    </w:p>
    <w:p>
      <w:pPr>
        <w:pStyle w:val="16"/>
        <w:autoSpaceDE w:val="0"/>
        <w:spacing w:beforeAutospacing="0" w:afterAutospacing="0" w:line="579" w:lineRule="exact"/>
        <w:ind w:firstLine="64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（二）国有资产占用情况说明。</w:t>
      </w:r>
    </w:p>
    <w:p>
      <w:pPr>
        <w:pStyle w:val="7"/>
        <w:shd w:val="clear" w:color="auto" w:fill="FFFFFF"/>
        <w:ind w:right="21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截至2021年12月31日，本</w:t>
      </w:r>
      <w:r>
        <w:rPr>
          <w:rFonts w:hint="eastAsia" w:ascii="方正仿宋_GBK" w:hAnsi="方正仿宋_GBK" w:eastAsia="方正仿宋_GBK" w:cs="方正仿宋_GBK"/>
          <w:sz w:val="32"/>
          <w:szCs w:val="32"/>
          <w:lang w:eastAsia="zh-CN"/>
        </w:rPr>
        <w:t>单位</w:t>
      </w:r>
      <w:r>
        <w:rPr>
          <w:rFonts w:ascii="方正仿宋_GBK" w:hAnsi="方正仿宋_GBK" w:eastAsia="方正仿宋_GBK" w:cs="方正仿宋_GBK"/>
          <w:sz w:val="32"/>
          <w:szCs w:val="32"/>
        </w:rPr>
        <w:t>共有车辆1辆，其中，副部（省）级及以上领导用车0辆、主要领导干部用车0辆、机要通信用车1辆、应急保障用车0辆、执法执勤用车0辆，特种专业技术用车0辆，离退休干部用车0辆，其他用车0辆。单价50万元（含）以上通用设备1台（套），单价100万元（含）以上专用设备0台（套）。</w:t>
      </w:r>
    </w:p>
    <w:p>
      <w:pPr>
        <w:pStyle w:val="16"/>
        <w:autoSpaceDE w:val="0"/>
        <w:spacing w:beforeAutospacing="0" w:afterAutospacing="0" w:line="579" w:lineRule="exact"/>
        <w:ind w:firstLine="64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（三）政府采购支出情况说明。</w:t>
      </w:r>
    </w:p>
    <w:p>
      <w:pPr>
        <w:pStyle w:val="16"/>
        <w:autoSpaceDE w:val="0"/>
        <w:spacing w:beforeAutospacing="0" w:afterAutospacing="0" w:line="579" w:lineRule="exact"/>
        <w:ind w:firstLine="64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2021年度</w:t>
      </w:r>
      <w:r>
        <w:rPr>
          <w:rFonts w:hint="eastAsia" w:ascii="方正仿宋_GBK" w:hAnsi="方正仿宋_GBK" w:eastAsia="方正仿宋_GBK" w:cs="方正仿宋_GBK"/>
          <w:sz w:val="32"/>
          <w:szCs w:val="32"/>
          <w:lang w:eastAsia="zh-CN"/>
        </w:rPr>
        <w:t>本</w:t>
      </w:r>
      <w:r>
        <w:rPr>
          <w:rFonts w:ascii="方正仿宋_GBK" w:hAnsi="方正仿宋_GBK" w:eastAsia="方正仿宋_GBK" w:cs="方正仿宋_GBK"/>
          <w:sz w:val="32"/>
          <w:szCs w:val="32"/>
        </w:rPr>
        <w:t>单位未发生政府采购事项，无相关经费支出。</w:t>
      </w:r>
    </w:p>
    <w:p>
      <w:pPr>
        <w:pStyle w:val="16"/>
        <w:autoSpaceDE w:val="0"/>
        <w:spacing w:beforeAutospacing="0" w:afterAutospacing="0" w:line="579" w:lineRule="exact"/>
        <w:ind w:firstLine="570"/>
        <w:jc w:val="both"/>
        <w:rPr>
          <w:rFonts w:hint="default" w:ascii="方正黑体_GBK" w:hAnsi="方正小标宋_GBK" w:eastAsia="方正黑体_GBK" w:cs="方正小标宋_GBK"/>
          <w:sz w:val="32"/>
          <w:szCs w:val="32"/>
        </w:rPr>
      </w:pPr>
      <w:r>
        <w:rPr>
          <w:rFonts w:ascii="方正黑体_GBK" w:hAnsi="方正小标宋_GBK" w:eastAsia="方正黑体_GBK" w:cs="方正小标宋_GBK"/>
          <w:sz w:val="32"/>
          <w:szCs w:val="32"/>
        </w:rPr>
        <w:t>五、预算绩效管理情况说明</w:t>
      </w:r>
    </w:p>
    <w:p>
      <w:pPr>
        <w:autoSpaceDE w:val="0"/>
        <w:spacing w:line="579" w:lineRule="exact"/>
        <w:ind w:firstLine="640" w:firstLineChars="200"/>
        <w:rPr>
          <w:rFonts w:ascii="方正楷体_GBK" w:hAnsi="方正仿宋_GBK" w:eastAsia="方正楷体_GBK" w:cs="方正仿宋_GBK"/>
          <w:kern w:val="0"/>
          <w:sz w:val="32"/>
          <w:szCs w:val="32"/>
        </w:rPr>
      </w:pPr>
      <w:r>
        <w:rPr>
          <w:rFonts w:hint="eastAsia" w:ascii="方正楷体_GBK" w:hAnsi="方正仿宋_GBK" w:eastAsia="方正楷体_GBK" w:cs="方正仿宋_GBK"/>
          <w:kern w:val="0"/>
          <w:sz w:val="32"/>
          <w:szCs w:val="32"/>
        </w:rPr>
        <w:t>（一）预算绩效管理工作开展情况</w:t>
      </w:r>
    </w:p>
    <w:p>
      <w:pPr>
        <w:autoSpaceDE w:val="0"/>
        <w:spacing w:line="579"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w:t>
      </w:r>
      <w:r>
        <w:rPr>
          <w:rFonts w:ascii="方正仿宋_GBK" w:hAnsi="方正仿宋_GBK" w:eastAsia="方正仿宋_GBK" w:cs="方正仿宋_GBK"/>
          <w:sz w:val="32"/>
          <w:szCs w:val="32"/>
        </w:rPr>
        <w:t>市低保中心</w:t>
      </w:r>
      <w:r>
        <w:rPr>
          <w:rFonts w:hint="eastAsia" w:ascii="方正仿宋_GBK" w:hAnsi="方正仿宋_GBK" w:eastAsia="方正仿宋_GBK" w:cs="方正仿宋_GBK"/>
          <w:kern w:val="0"/>
          <w:sz w:val="32"/>
          <w:szCs w:val="32"/>
        </w:rPr>
        <w:t>对</w:t>
      </w:r>
      <w:r>
        <w:rPr>
          <w:rFonts w:ascii="Times New Roman" w:hAnsi="Times New Roman" w:eastAsia="方正仿宋_GBK"/>
          <w:kern w:val="0"/>
          <w:sz w:val="32"/>
          <w:szCs w:val="32"/>
        </w:rPr>
        <w:t>1</w:t>
      </w:r>
      <w:r>
        <w:rPr>
          <w:rFonts w:hint="eastAsia" w:ascii="方正仿宋_GBK" w:hAnsi="方正仿宋_GBK" w:eastAsia="方正仿宋_GBK" w:cs="方正仿宋_GBK"/>
          <w:kern w:val="0"/>
          <w:sz w:val="32"/>
          <w:szCs w:val="32"/>
        </w:rPr>
        <w:t>个项目开展了绩效自评，其中，以填报目标自评表形式开展自评</w:t>
      </w:r>
      <w:r>
        <w:rPr>
          <w:rFonts w:ascii="Times New Roman" w:hAnsi="Times New Roman" w:eastAsia="方正仿宋_GBK"/>
          <w:kern w:val="0"/>
          <w:sz w:val="32"/>
          <w:szCs w:val="32"/>
        </w:rPr>
        <w:t>1</w:t>
      </w:r>
      <w:r>
        <w:rPr>
          <w:rFonts w:hint="eastAsia" w:ascii="方正仿宋_GBK" w:hAnsi="方正仿宋_GBK" w:eastAsia="方正仿宋_GBK" w:cs="方正仿宋_GBK"/>
          <w:kern w:val="0"/>
          <w:sz w:val="32"/>
          <w:szCs w:val="32"/>
        </w:rPr>
        <w:t>项，涉及资金</w:t>
      </w:r>
      <w:r>
        <w:rPr>
          <w:rFonts w:ascii="Times New Roman" w:hAnsi="Times New Roman" w:eastAsia="方正仿宋_GBK"/>
          <w:kern w:val="0"/>
          <w:sz w:val="32"/>
          <w:szCs w:val="32"/>
        </w:rPr>
        <w:t>195.16</w:t>
      </w:r>
      <w:r>
        <w:rPr>
          <w:rFonts w:hint="eastAsia" w:ascii="方正仿宋_GBK" w:hAnsi="方正仿宋_GBK" w:eastAsia="方正仿宋_GBK" w:cs="方正仿宋_GBK"/>
          <w:kern w:val="0"/>
          <w:sz w:val="32"/>
          <w:szCs w:val="32"/>
        </w:rPr>
        <w:t>万元。从评价情况来看，项目预算执行情况较好，有力地保障了</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kern w:val="0"/>
          <w:sz w:val="32"/>
          <w:szCs w:val="32"/>
        </w:rPr>
        <w:t>整体运行。</w:t>
      </w:r>
    </w:p>
    <w:p>
      <w:pPr>
        <w:pStyle w:val="15"/>
        <w:autoSpaceDE w:val="0"/>
        <w:spacing w:beforeAutospacing="0" w:line="579"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（二）绩效自评结果</w:t>
      </w:r>
    </w:p>
    <w:p>
      <w:pPr>
        <w:widowControl/>
        <w:snapToGrid w:val="0"/>
        <w:jc w:val="center"/>
        <w:rPr>
          <w:rFonts w:ascii="宋体" w:hAnsi="宋体" w:eastAsia="方正黑体_GBK" w:cs="宋体"/>
          <w:kern w:val="0"/>
          <w:sz w:val="36"/>
          <w:szCs w:val="36"/>
        </w:rPr>
      </w:pPr>
      <w:r>
        <w:rPr>
          <w:rFonts w:hint="eastAsia" w:ascii="方正小标宋_GBK" w:hAnsi="方正小标宋_GBK" w:eastAsia="方正小标宋_GBK" w:cs="方正小标宋_GBK"/>
          <w:color w:val="000000"/>
          <w:kern w:val="0"/>
          <w:sz w:val="36"/>
          <w:szCs w:val="36"/>
        </w:rPr>
        <w:t>二级项目绩效自评表</w:t>
      </w:r>
    </w:p>
    <w:tbl>
      <w:tblPr>
        <w:tblStyle w:val="8"/>
        <w:tblW w:w="9999" w:type="dxa"/>
        <w:jc w:val="center"/>
        <w:tblLayout w:type="fixed"/>
        <w:tblCellMar>
          <w:top w:w="0" w:type="dxa"/>
          <w:left w:w="108" w:type="dxa"/>
          <w:bottom w:w="0" w:type="dxa"/>
          <w:right w:w="108" w:type="dxa"/>
        </w:tblCellMar>
      </w:tblPr>
      <w:tblGrid>
        <w:gridCol w:w="1087"/>
        <w:gridCol w:w="1638"/>
        <w:gridCol w:w="1260"/>
        <w:gridCol w:w="727"/>
        <w:gridCol w:w="709"/>
        <w:gridCol w:w="811"/>
        <w:gridCol w:w="709"/>
        <w:gridCol w:w="1021"/>
        <w:gridCol w:w="883"/>
        <w:gridCol w:w="1154"/>
      </w:tblGrid>
      <w:tr>
        <w:tblPrEx>
          <w:tblCellMar>
            <w:top w:w="0" w:type="dxa"/>
            <w:left w:w="108" w:type="dxa"/>
            <w:bottom w:w="0" w:type="dxa"/>
            <w:right w:w="108" w:type="dxa"/>
          </w:tblCellMar>
        </w:tblPrEx>
        <w:trPr>
          <w:cantSplit/>
          <w:trHeight w:val="93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项目名称</w:t>
            </w:r>
          </w:p>
        </w:tc>
        <w:tc>
          <w:tcPr>
            <w:tcW w:w="4334" w:type="dxa"/>
            <w:gridSpan w:val="4"/>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社会救助事务业务经费</w:t>
            </w:r>
          </w:p>
        </w:tc>
        <w:tc>
          <w:tcPr>
            <w:tcW w:w="811"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自评</w:t>
            </w:r>
          </w:p>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总分</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（分）</w:t>
            </w:r>
          </w:p>
        </w:tc>
        <w:tc>
          <w:tcPr>
            <w:tcW w:w="3767" w:type="dxa"/>
            <w:gridSpan w:val="4"/>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100</w:t>
            </w:r>
          </w:p>
        </w:tc>
      </w:tr>
      <w:tr>
        <w:tblPrEx>
          <w:tblCellMar>
            <w:top w:w="0" w:type="dxa"/>
            <w:left w:w="108" w:type="dxa"/>
            <w:bottom w:w="0" w:type="dxa"/>
            <w:right w:w="108" w:type="dxa"/>
          </w:tblCellMar>
        </w:tblPrEx>
        <w:trPr>
          <w:cantSplit/>
          <w:trHeight w:val="338"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主管部门</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重庆市民政局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财政</w:t>
            </w:r>
          </w:p>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处室</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社保处　</w:t>
            </w:r>
          </w:p>
        </w:tc>
        <w:tc>
          <w:tcPr>
            <w:tcW w:w="811"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项目</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联系人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黄式江</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联系</w:t>
            </w:r>
          </w:p>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电话</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023-8</w:t>
            </w:r>
            <w:r>
              <w:rPr>
                <w:rFonts w:ascii="方正仿宋_GBK" w:hAnsi="方正仿宋_GBK" w:eastAsia="方正仿宋_GBK" w:cs="方正仿宋_GBK"/>
                <w:color w:val="000000"/>
                <w:kern w:val="0"/>
                <w:szCs w:val="21"/>
              </w:rPr>
              <w:t>9188200</w:t>
            </w:r>
          </w:p>
        </w:tc>
      </w:tr>
      <w:tr>
        <w:tblPrEx>
          <w:tblCellMar>
            <w:top w:w="0" w:type="dxa"/>
            <w:left w:w="108" w:type="dxa"/>
            <w:bottom w:w="0" w:type="dxa"/>
            <w:right w:w="108" w:type="dxa"/>
          </w:tblCellMar>
        </w:tblPrEx>
        <w:trPr>
          <w:cantSplit/>
          <w:trHeight w:val="866" w:hRule="atLeast"/>
          <w:jc w:val="center"/>
        </w:trPr>
        <w:tc>
          <w:tcPr>
            <w:tcW w:w="1087"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项目资金（万元）</w:t>
            </w:r>
          </w:p>
        </w:tc>
        <w:tc>
          <w:tcPr>
            <w:tcW w:w="1638"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260"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年初预算数</w:t>
            </w:r>
          </w:p>
        </w:tc>
        <w:tc>
          <w:tcPr>
            <w:tcW w:w="1436"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全年（调整）</w:t>
            </w:r>
          </w:p>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预算数</w:t>
            </w:r>
          </w:p>
        </w:tc>
        <w:tc>
          <w:tcPr>
            <w:tcW w:w="1520"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全年执行数</w:t>
            </w:r>
          </w:p>
        </w:tc>
        <w:tc>
          <w:tcPr>
            <w:tcW w:w="1021"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执行率</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w:t>
            </w:r>
          </w:p>
        </w:tc>
        <w:tc>
          <w:tcPr>
            <w:tcW w:w="883"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执行率</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权重</w:t>
            </w:r>
          </w:p>
        </w:tc>
        <w:tc>
          <w:tcPr>
            <w:tcW w:w="1154" w:type="dxa"/>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执行率</w:t>
            </w:r>
          </w:p>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得分</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（分）</w:t>
            </w:r>
          </w:p>
        </w:tc>
      </w:tr>
      <w:tr>
        <w:tblPrEx>
          <w:tblCellMar>
            <w:top w:w="0" w:type="dxa"/>
            <w:left w:w="108" w:type="dxa"/>
            <w:bottom w:w="0" w:type="dxa"/>
            <w:right w:w="108" w:type="dxa"/>
          </w:tblCellMar>
        </w:tblPrEx>
        <w:trPr>
          <w:cantSplit/>
          <w:trHeight w:val="451" w:hRule="atLeast"/>
          <w:jc w:val="center"/>
        </w:trPr>
        <w:tc>
          <w:tcPr>
            <w:tcW w:w="1087" w:type="dxa"/>
            <w:vMerge w:val="continue"/>
            <w:tcBorders>
              <w:top w:val="nil"/>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c>
          <w:tcPr>
            <w:tcW w:w="1638"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年度总金额</w:t>
            </w:r>
          </w:p>
        </w:tc>
        <w:tc>
          <w:tcPr>
            <w:tcW w:w="1260"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195.16</w:t>
            </w:r>
          </w:p>
        </w:tc>
        <w:tc>
          <w:tcPr>
            <w:tcW w:w="1436"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195.16</w:t>
            </w:r>
            <w:r>
              <w:rPr>
                <w:rFonts w:ascii="Times New Roman" w:hAnsi="方正仿宋_GBK" w:eastAsia="方正仿宋_GBK"/>
                <w:color w:val="000000"/>
                <w:kern w:val="0"/>
                <w:szCs w:val="21"/>
              </w:rPr>
              <w:t>　</w:t>
            </w:r>
          </w:p>
        </w:tc>
        <w:tc>
          <w:tcPr>
            <w:tcW w:w="1520"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195.16</w:t>
            </w:r>
          </w:p>
        </w:tc>
        <w:tc>
          <w:tcPr>
            <w:tcW w:w="102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100</w:t>
            </w:r>
          </w:p>
        </w:tc>
        <w:tc>
          <w:tcPr>
            <w:tcW w:w="883"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 xml:space="preserve">10 </w:t>
            </w:r>
          </w:p>
        </w:tc>
        <w:tc>
          <w:tcPr>
            <w:tcW w:w="1154"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 xml:space="preserve">10 </w:t>
            </w:r>
          </w:p>
        </w:tc>
      </w:tr>
      <w:tr>
        <w:tblPrEx>
          <w:tblCellMar>
            <w:top w:w="0" w:type="dxa"/>
            <w:left w:w="108" w:type="dxa"/>
            <w:bottom w:w="0" w:type="dxa"/>
            <w:right w:w="108" w:type="dxa"/>
          </w:tblCellMar>
        </w:tblPrEx>
        <w:trPr>
          <w:cantSplit/>
          <w:trHeight w:val="322" w:hRule="atLeast"/>
          <w:jc w:val="center"/>
        </w:trPr>
        <w:tc>
          <w:tcPr>
            <w:tcW w:w="1087" w:type="dxa"/>
            <w:vMerge w:val="restart"/>
            <w:tcBorders>
              <w:top w:val="nil"/>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当年绩效目标</w:t>
            </w:r>
          </w:p>
        </w:tc>
        <w:tc>
          <w:tcPr>
            <w:tcW w:w="2898"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年初绩效目标</w:t>
            </w:r>
          </w:p>
        </w:tc>
        <w:tc>
          <w:tcPr>
            <w:tcW w:w="2956" w:type="dxa"/>
            <w:gridSpan w:val="4"/>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全年（调整）绩效目标</w:t>
            </w:r>
          </w:p>
        </w:tc>
        <w:tc>
          <w:tcPr>
            <w:tcW w:w="3058" w:type="dxa"/>
            <w:gridSpan w:val="3"/>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全年目标实际完成情况</w:t>
            </w:r>
          </w:p>
        </w:tc>
      </w:tr>
      <w:tr>
        <w:tblPrEx>
          <w:tblCellMar>
            <w:top w:w="0" w:type="dxa"/>
            <w:left w:w="108" w:type="dxa"/>
            <w:bottom w:w="0" w:type="dxa"/>
            <w:right w:w="108" w:type="dxa"/>
          </w:tblCellMar>
        </w:tblPrEx>
        <w:trPr>
          <w:cantSplit/>
          <w:trHeight w:val="1758" w:hRule="atLeast"/>
          <w:jc w:val="center"/>
        </w:trPr>
        <w:tc>
          <w:tcPr>
            <w:tcW w:w="1087" w:type="dxa"/>
            <w:vMerge w:val="continue"/>
            <w:tcBorders>
              <w:top w:val="nil"/>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c>
          <w:tcPr>
            <w:tcW w:w="2898" w:type="dxa"/>
            <w:gridSpan w:val="2"/>
            <w:tcBorders>
              <w:top w:val="single" w:color="auto" w:sz="4" w:space="0"/>
              <w:left w:val="nil"/>
              <w:bottom w:val="single" w:color="auto" w:sz="4" w:space="0"/>
              <w:right w:val="single" w:color="auto" w:sz="4" w:space="0"/>
            </w:tcBorders>
            <w:vAlign w:val="center"/>
          </w:tcPr>
          <w:p>
            <w:pPr>
              <w:widowControl/>
              <w:overflowPunct w:val="0"/>
              <w:adjustRightInd w:val="0"/>
              <w:snapToGrid w:val="0"/>
              <w:rPr>
                <w:rFonts w:ascii="方正仿宋_GBK" w:hAnsi="方正仿宋_GBK" w:eastAsia="方正仿宋_GBK" w:cs="方正仿宋_GBK"/>
                <w:color w:val="000000"/>
                <w:kern w:val="0"/>
                <w:szCs w:val="21"/>
              </w:rPr>
            </w:pPr>
            <w:r>
              <w:rPr>
                <w:rFonts w:hint="eastAsia" w:ascii="Times New Roman" w:hAnsi="Times New Roman" w:eastAsia="方正仿宋_GBK"/>
                <w:color w:val="000000"/>
                <w:kern w:val="0"/>
                <w:szCs w:val="21"/>
              </w:rPr>
              <w:t>1、面向全市开展核查工作会议和培训，提升我市核查工作人员能力，参会参训人员不少于250人次。2、聘请第三方测评机构对核查系统进行三级等保测评，系统漏洞监测，保障核查系统信息安全。3、聘请专家进行核查课题调研，探索我市核查工作发展方向，以调研报告为考核依据。4、确保核查系统正常运行，保障救助家庭经济核查的基本工作需求，救助家庭经济状况通过实际核对平台核对量达到100万人次。5、完成全市所有区县“民政惠民济困保”项目对象参保工作。6、完成“民政惠民济困保”项目年度考核评估。</w:t>
            </w:r>
          </w:p>
        </w:tc>
        <w:tc>
          <w:tcPr>
            <w:tcW w:w="2956" w:type="dxa"/>
            <w:gridSpan w:val="4"/>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面向全市开展核查工作会议和培训，提升我市核查工作人员能力，参会参训人员不少于250人次。2、聘请第三方测评机构对核查系统进行三级等保测评，系统漏洞监测，保障核查系统信息安全。3、聘请专家进行核查课题调研，探索我市核查工作发展方向，以调研报告为考核依据。4、确保核查系统正常运行，保障救助家庭经济核查的基本工作需求，救助家庭经济状况通过实际核对平台核对量达到100万人次。5、完成全市所有区县“民政惠民济困保”项目对象参保工作。6、完成“民政惠民济困保”项目年度考核评估。</w:t>
            </w:r>
          </w:p>
        </w:tc>
        <w:tc>
          <w:tcPr>
            <w:tcW w:w="3058" w:type="dxa"/>
            <w:gridSpan w:val="3"/>
            <w:tcBorders>
              <w:top w:val="single" w:color="auto" w:sz="4" w:space="0"/>
              <w:left w:val="nil"/>
              <w:bottom w:val="single" w:color="auto" w:sz="4" w:space="0"/>
              <w:right w:val="single" w:color="auto" w:sz="4" w:space="0"/>
            </w:tcBorders>
            <w:vAlign w:val="center"/>
          </w:tcPr>
          <w:p>
            <w:pPr>
              <w:widowControl/>
              <w:overflowPunct w:val="0"/>
              <w:adjustRightInd w:val="0"/>
              <w:snapToGrid w:val="0"/>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1、面向全市开展核查工作会议和培训，提升我市核查工作人员能力，线下参会参训人员1</w:t>
            </w:r>
            <w:r>
              <w:rPr>
                <w:rFonts w:ascii="方正仿宋_GBK" w:hAnsi="方正仿宋_GBK" w:eastAsia="方正仿宋_GBK" w:cs="方正仿宋_GBK"/>
                <w:color w:val="000000"/>
                <w:kern w:val="0"/>
                <w:szCs w:val="21"/>
              </w:rPr>
              <w:t>28</w:t>
            </w:r>
            <w:r>
              <w:rPr>
                <w:rFonts w:hint="eastAsia" w:ascii="方正仿宋_GBK" w:hAnsi="方正仿宋_GBK" w:eastAsia="方正仿宋_GBK" w:cs="方正仿宋_GBK"/>
                <w:color w:val="000000"/>
                <w:kern w:val="0"/>
                <w:szCs w:val="21"/>
              </w:rPr>
              <w:t>人次、线上参会参训人员</w:t>
            </w:r>
            <w:r>
              <w:rPr>
                <w:rFonts w:ascii="方正仿宋_GBK" w:hAnsi="方正仿宋_GBK" w:eastAsia="方正仿宋_GBK" w:cs="方正仿宋_GBK"/>
                <w:color w:val="000000"/>
                <w:kern w:val="0"/>
                <w:szCs w:val="21"/>
              </w:rPr>
              <w:t>1874</w:t>
            </w:r>
            <w:r>
              <w:rPr>
                <w:rFonts w:hint="eastAsia" w:ascii="方正仿宋_GBK" w:hAnsi="方正仿宋_GBK" w:eastAsia="方正仿宋_GBK" w:cs="方正仿宋_GBK"/>
                <w:color w:val="000000"/>
                <w:kern w:val="0"/>
                <w:szCs w:val="21"/>
              </w:rPr>
              <w:t>人次。2、聘请第三方测评机构对核查系统进行三级等保测评，系统漏洞监测，保障核查系统信息安全。3、聘请专家进行核查课题调研，探索我市核查工作发展方向，完成调研报告1份。4、确保核查系统正常运行，保障救助家庭经济核查的基本工作需求，救助家庭经济状况通过实际核对平台核对量达到</w:t>
            </w:r>
            <w:r>
              <w:rPr>
                <w:rFonts w:ascii="方正仿宋_GBK" w:hAnsi="方正仿宋_GBK" w:eastAsia="方正仿宋_GBK" w:cs="方正仿宋_GBK"/>
                <w:color w:val="000000"/>
                <w:kern w:val="0"/>
                <w:szCs w:val="21"/>
              </w:rPr>
              <w:t>250.04</w:t>
            </w:r>
            <w:r>
              <w:rPr>
                <w:rFonts w:hint="eastAsia" w:ascii="方正仿宋_GBK" w:hAnsi="方正仿宋_GBK" w:eastAsia="方正仿宋_GBK" w:cs="方正仿宋_GBK"/>
                <w:color w:val="000000"/>
                <w:kern w:val="0"/>
                <w:szCs w:val="21"/>
              </w:rPr>
              <w:t>万人次。5、完成全市所有区县“民政惠民济困保”项目对象参保工作，全市参保人数1</w:t>
            </w:r>
            <w:r>
              <w:rPr>
                <w:rFonts w:ascii="方正仿宋_GBK" w:hAnsi="方正仿宋_GBK" w:eastAsia="方正仿宋_GBK" w:cs="方正仿宋_GBK"/>
                <w:color w:val="000000"/>
                <w:kern w:val="0"/>
                <w:szCs w:val="21"/>
              </w:rPr>
              <w:t>03.38</w:t>
            </w:r>
            <w:r>
              <w:rPr>
                <w:rFonts w:hint="eastAsia" w:ascii="方正仿宋_GBK" w:hAnsi="方正仿宋_GBK" w:eastAsia="方正仿宋_GBK" w:cs="方正仿宋_GBK"/>
                <w:color w:val="000000"/>
                <w:kern w:val="0"/>
                <w:szCs w:val="21"/>
              </w:rPr>
              <w:t>万人。6、完成“民政惠民济困保”项目年度考核评估，完成评估报告1份。</w:t>
            </w:r>
          </w:p>
        </w:tc>
      </w:tr>
      <w:tr>
        <w:tblPrEx>
          <w:tblCellMar>
            <w:top w:w="0" w:type="dxa"/>
            <w:left w:w="108" w:type="dxa"/>
            <w:bottom w:w="0" w:type="dxa"/>
            <w:right w:w="108" w:type="dxa"/>
          </w:tblCellMar>
        </w:tblPrEx>
        <w:trPr>
          <w:cantSplit/>
          <w:trHeight w:val="451" w:hRule="atLeast"/>
          <w:jc w:val="center"/>
        </w:trPr>
        <w:tc>
          <w:tcPr>
            <w:tcW w:w="1087" w:type="dxa"/>
            <w:vMerge w:val="restart"/>
            <w:tcBorders>
              <w:top w:val="single" w:color="auto" w:sz="4" w:space="0"/>
              <w:left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绩效指标</w:t>
            </w:r>
          </w:p>
        </w:tc>
        <w:tc>
          <w:tcPr>
            <w:tcW w:w="1638"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指标名称</w:t>
            </w:r>
          </w:p>
        </w:tc>
        <w:tc>
          <w:tcPr>
            <w:tcW w:w="1260"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单位</w:t>
            </w:r>
          </w:p>
        </w:tc>
        <w:tc>
          <w:tcPr>
            <w:tcW w:w="727"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指标</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性质</w:t>
            </w:r>
          </w:p>
        </w:tc>
        <w:tc>
          <w:tcPr>
            <w:tcW w:w="709"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年初</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指标值</w:t>
            </w:r>
          </w:p>
        </w:tc>
        <w:tc>
          <w:tcPr>
            <w:tcW w:w="81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调整</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指标值</w:t>
            </w:r>
          </w:p>
        </w:tc>
        <w:tc>
          <w:tcPr>
            <w:tcW w:w="709"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全年</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完成值</w:t>
            </w:r>
          </w:p>
        </w:tc>
        <w:tc>
          <w:tcPr>
            <w:tcW w:w="102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得分系数</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w:t>
            </w:r>
          </w:p>
        </w:tc>
        <w:tc>
          <w:tcPr>
            <w:tcW w:w="883"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指标权重</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（分）</w:t>
            </w:r>
          </w:p>
        </w:tc>
        <w:tc>
          <w:tcPr>
            <w:tcW w:w="1154"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指标得分</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（分）</w:t>
            </w:r>
          </w:p>
        </w:tc>
      </w:tr>
      <w:tr>
        <w:tblPrEx>
          <w:tblCellMar>
            <w:top w:w="0" w:type="dxa"/>
            <w:left w:w="108" w:type="dxa"/>
            <w:bottom w:w="0" w:type="dxa"/>
            <w:right w:w="108" w:type="dxa"/>
          </w:tblCellMar>
        </w:tblPrEx>
        <w:trPr>
          <w:cantSplit/>
          <w:trHeight w:val="716" w:hRule="atLeast"/>
          <w:jc w:val="center"/>
        </w:trPr>
        <w:tc>
          <w:tcPr>
            <w:tcW w:w="1087" w:type="dxa"/>
            <w:vMerge w:val="continue"/>
            <w:tcBorders>
              <w:left w:val="single" w:color="auto" w:sz="4" w:space="0"/>
              <w:right w:val="single" w:color="auto" w:sz="4" w:space="0"/>
            </w:tcBorders>
            <w:vAlign w:val="center"/>
          </w:tcPr>
          <w:p>
            <w:pPr>
              <w:rPr>
                <w:rFonts w:ascii="方正仿宋_GBK" w:hAnsi="方正仿宋_GBK" w:eastAsia="方正仿宋_GBK" w:cs="方正仿宋_GBK"/>
                <w:szCs w:val="21"/>
              </w:rPr>
            </w:pPr>
          </w:p>
        </w:tc>
        <w:tc>
          <w:tcPr>
            <w:tcW w:w="1638" w:type="dxa"/>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市级核对平台年核对量</w:t>
            </w:r>
          </w:p>
        </w:tc>
        <w:tc>
          <w:tcPr>
            <w:tcW w:w="1260" w:type="dxa"/>
            <w:tcBorders>
              <w:top w:val="nil"/>
              <w:left w:val="nil"/>
              <w:bottom w:val="single" w:color="auto" w:sz="4" w:space="0"/>
              <w:right w:val="single" w:color="auto" w:sz="4" w:space="0"/>
            </w:tcBorders>
            <w:vAlign w:val="center"/>
          </w:tcPr>
          <w:p>
            <w:pPr>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万人次</w:t>
            </w:r>
          </w:p>
        </w:tc>
        <w:tc>
          <w:tcPr>
            <w:tcW w:w="727"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w:t>
            </w:r>
          </w:p>
        </w:tc>
        <w:tc>
          <w:tcPr>
            <w:tcW w:w="709" w:type="dxa"/>
            <w:tcBorders>
              <w:top w:val="nil"/>
              <w:left w:val="nil"/>
              <w:bottom w:val="single" w:color="auto" w:sz="4" w:space="0"/>
              <w:right w:val="single" w:color="auto" w:sz="4" w:space="0"/>
            </w:tcBorders>
            <w:vAlign w:val="center"/>
          </w:tcPr>
          <w:p>
            <w:pPr>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100</w:t>
            </w:r>
          </w:p>
        </w:tc>
        <w:tc>
          <w:tcPr>
            <w:tcW w:w="81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方正仿宋_GBK" w:eastAsia="方正仿宋_GBK"/>
                <w:color w:val="000000"/>
                <w:kern w:val="0"/>
                <w:szCs w:val="21"/>
              </w:rPr>
              <w:t>　</w:t>
            </w:r>
            <w:r>
              <w:rPr>
                <w:rFonts w:ascii="Times New Roman" w:hAnsi="Times New Roman" w:eastAsia="方正仿宋_GBK"/>
                <w:color w:val="000000"/>
                <w:kern w:val="0"/>
                <w:szCs w:val="21"/>
              </w:rPr>
              <w:t>100</w:t>
            </w:r>
          </w:p>
        </w:tc>
        <w:tc>
          <w:tcPr>
            <w:tcW w:w="709"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250</w:t>
            </w:r>
            <w:r>
              <w:rPr>
                <w:rFonts w:hint="eastAsia" w:ascii="Times New Roman" w:hAnsi="Times New Roman" w:eastAsia="方正仿宋_GBK"/>
                <w:color w:val="000000"/>
                <w:kern w:val="0"/>
                <w:szCs w:val="21"/>
              </w:rPr>
              <w:t>．0</w:t>
            </w:r>
            <w:r>
              <w:rPr>
                <w:rFonts w:ascii="Times New Roman" w:hAnsi="Times New Roman" w:eastAsia="方正仿宋_GBK"/>
                <w:color w:val="000000"/>
                <w:kern w:val="0"/>
                <w:szCs w:val="21"/>
              </w:rPr>
              <w:t>4</w:t>
            </w:r>
          </w:p>
        </w:tc>
        <w:tc>
          <w:tcPr>
            <w:tcW w:w="102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100</w:t>
            </w:r>
          </w:p>
        </w:tc>
        <w:tc>
          <w:tcPr>
            <w:tcW w:w="883"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50</w:t>
            </w:r>
          </w:p>
        </w:tc>
        <w:tc>
          <w:tcPr>
            <w:tcW w:w="1154"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50</w:t>
            </w:r>
          </w:p>
        </w:tc>
      </w:tr>
      <w:tr>
        <w:tblPrEx>
          <w:tblCellMar>
            <w:top w:w="0" w:type="dxa"/>
            <w:left w:w="108" w:type="dxa"/>
            <w:bottom w:w="0" w:type="dxa"/>
            <w:right w:w="108" w:type="dxa"/>
          </w:tblCellMar>
        </w:tblPrEx>
        <w:trPr>
          <w:cantSplit/>
          <w:trHeight w:val="716" w:hRule="atLeast"/>
          <w:jc w:val="center"/>
        </w:trPr>
        <w:tc>
          <w:tcPr>
            <w:tcW w:w="1087" w:type="dxa"/>
            <w:vMerge w:val="continue"/>
            <w:tcBorders>
              <w:left w:val="single" w:color="auto" w:sz="4" w:space="0"/>
              <w:right w:val="single" w:color="auto" w:sz="4" w:space="0"/>
            </w:tcBorders>
            <w:vAlign w:val="center"/>
          </w:tcPr>
          <w:p>
            <w:pPr>
              <w:rPr>
                <w:rFonts w:ascii="方正仿宋_GBK" w:hAnsi="方正仿宋_GBK" w:eastAsia="方正仿宋_GBK" w:cs="方正仿宋_GBK"/>
                <w:szCs w:val="21"/>
              </w:rPr>
            </w:pPr>
          </w:p>
        </w:tc>
        <w:tc>
          <w:tcPr>
            <w:tcW w:w="1638" w:type="dxa"/>
            <w:tcBorders>
              <w:top w:val="nil"/>
              <w:left w:val="nil"/>
              <w:bottom w:val="single" w:color="auto" w:sz="4" w:space="0"/>
              <w:right w:val="single" w:color="auto" w:sz="4" w:space="0"/>
            </w:tcBorders>
            <w:vAlign w:val="center"/>
          </w:tcPr>
          <w:p>
            <w:pPr>
              <w:widowControl/>
              <w:jc w:val="left"/>
              <w:rPr>
                <w:color w:val="000000"/>
                <w:szCs w:val="21"/>
              </w:rPr>
            </w:pPr>
            <w:r>
              <w:rPr>
                <w:rFonts w:hint="eastAsia"/>
                <w:color w:val="000000"/>
                <w:szCs w:val="21"/>
              </w:rPr>
              <w:t>“民政惠民济困保”项目年度评估报告</w:t>
            </w:r>
          </w:p>
        </w:tc>
        <w:tc>
          <w:tcPr>
            <w:tcW w:w="1260" w:type="dxa"/>
            <w:tcBorders>
              <w:top w:val="nil"/>
              <w:left w:val="nil"/>
              <w:bottom w:val="single" w:color="auto" w:sz="4" w:space="0"/>
              <w:right w:val="single" w:color="auto" w:sz="4" w:space="0"/>
            </w:tcBorders>
            <w:vAlign w:val="center"/>
          </w:tcPr>
          <w:p>
            <w:pPr>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份</w:t>
            </w:r>
          </w:p>
        </w:tc>
        <w:tc>
          <w:tcPr>
            <w:tcW w:w="727"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w:t>
            </w:r>
          </w:p>
        </w:tc>
        <w:tc>
          <w:tcPr>
            <w:tcW w:w="709" w:type="dxa"/>
            <w:tcBorders>
              <w:top w:val="nil"/>
              <w:left w:val="nil"/>
              <w:bottom w:val="single" w:color="auto" w:sz="4" w:space="0"/>
              <w:right w:val="single" w:color="auto" w:sz="4" w:space="0"/>
            </w:tcBorders>
            <w:vAlign w:val="center"/>
          </w:tcPr>
          <w:p>
            <w:pPr>
              <w:overflowPunct w:val="0"/>
              <w:adjustRightInd w:val="0"/>
              <w:snapToGrid w:val="0"/>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1</w:t>
            </w:r>
          </w:p>
        </w:tc>
        <w:tc>
          <w:tcPr>
            <w:tcW w:w="81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方正仿宋_GBK" w:eastAsia="方正仿宋_GBK"/>
                <w:color w:val="000000"/>
                <w:kern w:val="0"/>
                <w:szCs w:val="21"/>
              </w:rPr>
            </w:pPr>
            <w:r>
              <w:rPr>
                <w:rFonts w:hint="eastAsia" w:ascii="Times New Roman" w:hAnsi="方正仿宋_GBK" w:eastAsia="方正仿宋_GBK"/>
                <w:color w:val="000000"/>
                <w:kern w:val="0"/>
                <w:szCs w:val="21"/>
              </w:rPr>
              <w:t>1</w:t>
            </w:r>
          </w:p>
        </w:tc>
        <w:tc>
          <w:tcPr>
            <w:tcW w:w="709"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1</w:t>
            </w:r>
          </w:p>
        </w:tc>
        <w:tc>
          <w:tcPr>
            <w:tcW w:w="102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1</w:t>
            </w:r>
            <w:r>
              <w:rPr>
                <w:rFonts w:ascii="Times New Roman" w:hAnsi="Times New Roman" w:eastAsia="方正仿宋_GBK"/>
                <w:color w:val="000000"/>
                <w:kern w:val="0"/>
                <w:szCs w:val="21"/>
              </w:rPr>
              <w:t>00</w:t>
            </w:r>
          </w:p>
        </w:tc>
        <w:tc>
          <w:tcPr>
            <w:tcW w:w="883"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30</w:t>
            </w:r>
          </w:p>
        </w:tc>
        <w:tc>
          <w:tcPr>
            <w:tcW w:w="1154"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30</w:t>
            </w:r>
          </w:p>
        </w:tc>
      </w:tr>
      <w:tr>
        <w:tblPrEx>
          <w:tblCellMar>
            <w:top w:w="0" w:type="dxa"/>
            <w:left w:w="108" w:type="dxa"/>
            <w:bottom w:w="0" w:type="dxa"/>
            <w:right w:w="108" w:type="dxa"/>
          </w:tblCellMar>
        </w:tblPrEx>
        <w:trPr>
          <w:cantSplit/>
          <w:trHeight w:val="716" w:hRule="atLeast"/>
          <w:jc w:val="center"/>
        </w:trPr>
        <w:tc>
          <w:tcPr>
            <w:tcW w:w="1087" w:type="dxa"/>
            <w:vMerge w:val="continue"/>
            <w:tcBorders>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c>
          <w:tcPr>
            <w:tcW w:w="1638" w:type="dxa"/>
            <w:tcBorders>
              <w:top w:val="nil"/>
              <w:left w:val="nil"/>
              <w:bottom w:val="single" w:color="auto" w:sz="4" w:space="0"/>
              <w:right w:val="single" w:color="auto" w:sz="4" w:space="0"/>
            </w:tcBorders>
            <w:vAlign w:val="center"/>
          </w:tcPr>
          <w:p>
            <w:pPr>
              <w:widowControl/>
              <w:jc w:val="left"/>
              <w:rPr>
                <w:color w:val="000000"/>
                <w:szCs w:val="21"/>
              </w:rPr>
            </w:pPr>
            <w:r>
              <w:rPr>
                <w:rFonts w:hint="eastAsia"/>
                <w:color w:val="000000"/>
                <w:szCs w:val="21"/>
              </w:rPr>
              <w:t>开展系统安全测评次数</w:t>
            </w:r>
          </w:p>
        </w:tc>
        <w:tc>
          <w:tcPr>
            <w:tcW w:w="1260" w:type="dxa"/>
            <w:tcBorders>
              <w:top w:val="nil"/>
              <w:left w:val="nil"/>
              <w:bottom w:val="single" w:color="auto" w:sz="4" w:space="0"/>
              <w:right w:val="single" w:color="auto" w:sz="4" w:space="0"/>
            </w:tcBorders>
            <w:vAlign w:val="center"/>
          </w:tcPr>
          <w:p>
            <w:pPr>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次</w:t>
            </w:r>
          </w:p>
        </w:tc>
        <w:tc>
          <w:tcPr>
            <w:tcW w:w="727"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w:t>
            </w:r>
          </w:p>
        </w:tc>
        <w:tc>
          <w:tcPr>
            <w:tcW w:w="709" w:type="dxa"/>
            <w:tcBorders>
              <w:top w:val="nil"/>
              <w:left w:val="nil"/>
              <w:bottom w:val="single" w:color="auto" w:sz="4" w:space="0"/>
              <w:right w:val="single" w:color="auto" w:sz="4" w:space="0"/>
            </w:tcBorders>
            <w:vAlign w:val="center"/>
          </w:tcPr>
          <w:p>
            <w:pPr>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w:t>
            </w:r>
          </w:p>
        </w:tc>
        <w:tc>
          <w:tcPr>
            <w:tcW w:w="81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方正仿宋_GBK" w:eastAsia="方正仿宋_GBK"/>
                <w:color w:val="000000"/>
                <w:kern w:val="0"/>
                <w:szCs w:val="21"/>
              </w:rPr>
            </w:pPr>
            <w:r>
              <w:rPr>
                <w:rFonts w:ascii="Times New Roman" w:hAnsi="方正仿宋_GBK" w:eastAsia="方正仿宋_GBK"/>
                <w:color w:val="000000"/>
                <w:kern w:val="0"/>
                <w:szCs w:val="21"/>
              </w:rPr>
              <w:t>1</w:t>
            </w:r>
          </w:p>
        </w:tc>
        <w:tc>
          <w:tcPr>
            <w:tcW w:w="709"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1</w:t>
            </w:r>
          </w:p>
        </w:tc>
        <w:tc>
          <w:tcPr>
            <w:tcW w:w="1021"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1</w:t>
            </w:r>
            <w:r>
              <w:rPr>
                <w:rFonts w:ascii="Times New Roman" w:hAnsi="Times New Roman" w:eastAsia="方正仿宋_GBK"/>
                <w:color w:val="000000"/>
                <w:kern w:val="0"/>
                <w:szCs w:val="21"/>
              </w:rPr>
              <w:t>00</w:t>
            </w:r>
          </w:p>
        </w:tc>
        <w:tc>
          <w:tcPr>
            <w:tcW w:w="883"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20</w:t>
            </w:r>
          </w:p>
        </w:tc>
        <w:tc>
          <w:tcPr>
            <w:tcW w:w="1154" w:type="dxa"/>
            <w:tcBorders>
              <w:top w:val="nil"/>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20</w:t>
            </w:r>
          </w:p>
        </w:tc>
      </w:tr>
      <w:tr>
        <w:tblPrEx>
          <w:tblCellMar>
            <w:top w:w="0" w:type="dxa"/>
            <w:left w:w="108" w:type="dxa"/>
            <w:bottom w:w="0" w:type="dxa"/>
            <w:right w:w="108" w:type="dxa"/>
          </w:tblCellMar>
        </w:tblPrEx>
        <w:trPr>
          <w:cantSplit/>
          <w:trHeight w:val="3251"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Cs/>
                <w:color w:val="333333"/>
                <w:szCs w:val="21"/>
              </w:rPr>
              <w:t>未完成绩效目标、完成目标但偏离较多（</w:t>
            </w:r>
            <w:r>
              <w:rPr>
                <w:rFonts w:ascii="Times New Roman" w:hAnsi="Times New Roman" w:eastAsia="方正仿宋_GBK"/>
                <w:bCs/>
                <w:color w:val="333333"/>
                <w:szCs w:val="21"/>
              </w:rPr>
              <w:t>30%</w:t>
            </w:r>
            <w:r>
              <w:rPr>
                <w:rFonts w:hint="eastAsia" w:ascii="方正仿宋_GBK" w:hAnsi="方正仿宋_GBK" w:eastAsia="方正仿宋_GBK" w:cs="方正仿宋_GBK"/>
                <w:bCs/>
                <w:color w:val="333333"/>
                <w:szCs w:val="21"/>
              </w:rPr>
              <w:t>及以上）的原因、改进措施及其他说明</w:t>
            </w:r>
          </w:p>
        </w:tc>
        <w:tc>
          <w:tcPr>
            <w:tcW w:w="8912" w:type="dxa"/>
            <w:gridSpan w:val="9"/>
            <w:tcBorders>
              <w:top w:val="single" w:color="auto" w:sz="4" w:space="0"/>
              <w:left w:val="nil"/>
              <w:bottom w:val="single" w:color="auto" w:sz="4" w:space="0"/>
              <w:right w:val="single" w:color="auto" w:sz="4" w:space="0"/>
            </w:tcBorders>
            <w:vAlign w:val="center"/>
          </w:tcPr>
          <w:p>
            <w:pPr>
              <w:ind w:firstLine="315" w:firstLineChars="150"/>
              <w:rPr>
                <w:szCs w:val="21"/>
              </w:rPr>
            </w:pPr>
            <w:r>
              <w:rPr>
                <w:szCs w:val="21"/>
              </w:rPr>
              <w:t>2021年8月重庆市民政局印发关于《重庆市低保边缘家庭认定办法（试行）》的通知，其中第十二条要求“乡（镇）人民政府、街道办事处自受理申请后，应通过信息比对、入户调查、邻里访问以及信函索证等方式，对申请人家庭的收入、财产及实际生活状况进行调查核实。”，因此核查人群增加低保边缘家庭一个大项。另2021年6月，民政部印发《最低生活保障审核确认办法》，要求对低保在册对象分别按照半年和一年时间节点开展动态审核管理，全市低保在册对象运用核查系统开展动态管理率较上一年度有较大幅度提升，救助家庭经济状况核对量增长幅度较大。</w:t>
            </w:r>
          </w:p>
          <w:p>
            <w:pPr>
              <w:ind w:firstLine="315" w:firstLineChars="150"/>
              <w:rPr>
                <w:rFonts w:ascii="方正仿宋_GBK" w:hAnsi="方正仿宋_GBK" w:eastAsia="方正仿宋_GBK" w:cs="方正仿宋_GBK"/>
                <w:color w:val="000000"/>
                <w:kern w:val="0"/>
                <w:szCs w:val="21"/>
              </w:rPr>
            </w:pPr>
          </w:p>
        </w:tc>
      </w:tr>
    </w:tbl>
    <w:p>
      <w:pPr>
        <w:autoSpaceDE w:val="0"/>
        <w:spacing w:line="579" w:lineRule="exact"/>
        <w:rPr>
          <w:rFonts w:ascii="方正黑体_GBK" w:hAnsi="宋体" w:eastAsia="方正黑体_GBK" w:cs="仿宋_GB2312"/>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六、专业名词解释</w:t>
      </w:r>
    </w:p>
    <w:p>
      <w:pPr>
        <w:pStyle w:val="15"/>
        <w:autoSpaceDE w:val="0"/>
        <w:adjustRightInd w:val="0"/>
        <w:spacing w:beforeAutospacing="0" w:afterAutospacing="0" w:line="579" w:lineRule="exact"/>
        <w:ind w:firstLine="640" w:firstLineChars="200"/>
        <w:jc w:val="both"/>
        <w:rPr>
          <w:rFonts w:hint="default" w:cs="宋体"/>
        </w:rPr>
      </w:pPr>
      <w:r>
        <w:rPr>
          <w:rFonts w:ascii="方正楷体_GBK" w:hAnsi="方正楷体_GBK" w:eastAsia="方正楷体_GBK" w:cs="方正楷体_GBK"/>
          <w:kern w:val="2"/>
          <w:sz w:val="32"/>
          <w:szCs w:val="32"/>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kern w:val="2"/>
          <w:sz w:val="32"/>
          <w:szCs w:val="32"/>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rPr>
      </w:pPr>
      <w:r>
        <w:rPr>
          <w:rFonts w:ascii="方正楷体_GBK" w:hAnsi="方正楷体_GBK" w:eastAsia="方正楷体_GBK" w:cs="方正楷体_GBK"/>
          <w:kern w:val="2"/>
          <w:sz w:val="32"/>
          <w:szCs w:val="32"/>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 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autoSpaceDE w:val="0"/>
        <w:adjustRightInd w:val="0"/>
        <w:spacing w:beforeAutospacing="0" w:afterAutospacing="0" w:line="579" w:lineRule="exact"/>
        <w:ind w:firstLine="640" w:firstLineChars="200"/>
        <w:jc w:val="both"/>
        <w:rPr>
          <w:rFonts w:hint="default" w:cs="宋体"/>
        </w:rPr>
      </w:pPr>
      <w:r>
        <w:rPr>
          <w:rFonts w:ascii="方正楷体_GBK" w:hAnsi="方正楷体_GBK" w:eastAsia="方正楷体_GBK" w:cs="方正楷体_GBK"/>
          <w:kern w:val="2"/>
          <w:sz w:val="32"/>
          <w:szCs w:val="32"/>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autoSpaceDE w:val="0"/>
        <w:adjustRightInd w:val="0"/>
        <w:spacing w:beforeAutospacing="0" w:afterAutospacing="0" w:line="579" w:lineRule="exact"/>
        <w:ind w:firstLine="640" w:firstLineChars="200"/>
        <w:jc w:val="both"/>
        <w:rPr>
          <w:rFonts w:hint="default" w:cs="宋体"/>
        </w:rPr>
      </w:pPr>
      <w:r>
        <w:rPr>
          <w:rFonts w:ascii="方正楷体_GBK" w:hAnsi="方正楷体_GBK" w:eastAsia="方正楷体_GBK" w:cs="方正楷体_GBK"/>
          <w:kern w:val="2"/>
          <w:sz w:val="32"/>
          <w:szCs w:val="32"/>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autoSpaceDE w:val="0"/>
        <w:adjustRightInd w:val="0"/>
        <w:spacing w:beforeAutospacing="0" w:afterAutospacing="0" w:line="579" w:lineRule="exact"/>
        <w:ind w:firstLine="640" w:firstLineChars="200"/>
        <w:jc w:val="both"/>
        <w:rPr>
          <w:rFonts w:hint="default" w:cs="宋体"/>
        </w:rPr>
      </w:pPr>
      <w:r>
        <w:rPr>
          <w:rFonts w:ascii="方正楷体_GBK" w:hAnsi="方正楷体_GBK" w:eastAsia="方正楷体_GBK" w:cs="方正楷体_GBK"/>
          <w:kern w:val="2"/>
          <w:sz w:val="32"/>
          <w:szCs w:val="32"/>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 xml:space="preserve">（十二）“三公”经费： </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楷体_GBK" w:eastAsia="方正楷体_GBK" w:cs="方正楷体_GBK"/>
          <w:kern w:val="2"/>
          <w:sz w:val="32"/>
          <w:szCs w:val="32"/>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autoSpaceDE w:val="0"/>
        <w:spacing w:beforeAutospacing="0" w:afterAutospacing="0" w:line="579" w:lineRule="exact"/>
        <w:rPr>
          <w:rFonts w:hint="default" w:ascii="方正黑体_GBK" w:eastAsia="方正黑体_GBK" w:cs="宋体"/>
          <w:sz w:val="32"/>
          <w:szCs w:val="32"/>
        </w:rPr>
      </w:pPr>
      <w:r>
        <w:rPr>
          <w:rStyle w:val="18"/>
          <w:rFonts w:hint="eastAsia" w:ascii="方正黑体_GBK" w:eastAsia="方正黑体_GBK" w:cs="宋体"/>
          <w:b w:val="0"/>
          <w:sz w:val="32"/>
          <w:szCs w:val="32"/>
          <w:shd w:val="clear" w:color="auto" w:fill="FFFFFF"/>
        </w:rPr>
        <w:t>七、决算公开联系方式及信息反馈渠道</w:t>
      </w:r>
    </w:p>
    <w:p>
      <w:pPr>
        <w:pStyle w:val="15"/>
        <w:autoSpaceDE w:val="0"/>
        <w:adjustRightInd w:val="0"/>
        <w:spacing w:beforeAutospacing="0" w:afterAutospacing="0" w:line="579"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本单位决算公开信息反馈和联系方式：黄式江，</w:t>
      </w:r>
      <w:r>
        <w:rPr>
          <w:rFonts w:hint="default" w:ascii="Times New Roman" w:hAnsi="Times New Roman" w:eastAsia="方正仿宋_GBK"/>
          <w:sz w:val="32"/>
          <w:szCs w:val="32"/>
          <w:shd w:val="clear" w:color="auto" w:fill="FFFFFF"/>
        </w:rPr>
        <w:t>023-89188200</w:t>
      </w:r>
      <w:r>
        <w:rPr>
          <w:rFonts w:hint="default" w:ascii="Times New Roman" w:hAnsi="方正仿宋_GBK" w:eastAsia="方正仿宋_GBK"/>
          <w:sz w:val="32"/>
          <w:szCs w:val="32"/>
          <w:shd w:val="clear" w:color="auto" w:fill="FFFFFF"/>
        </w:rPr>
        <w:t>。</w:t>
      </w:r>
    </w:p>
    <w:p>
      <w:pPr>
        <w:pStyle w:val="15"/>
        <w:autoSpaceDE w:val="0"/>
        <w:adjustRightInd w:val="0"/>
        <w:spacing w:beforeAutospacing="0" w:line="600" w:lineRule="exact"/>
        <w:jc w:val="both"/>
        <w:rPr>
          <w:rFonts w:hint="default" w:ascii="方正仿宋_GBK" w:hAnsi="方正仿宋_GBK" w:eastAsia="方正仿宋_GBK" w:cs="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172835" cy="811085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72835" cy="8110855"/>
                    </a:xfrm>
                    <a:prstGeom prst="rect">
                      <a:avLst/>
                    </a:prstGeom>
                  </pic:spPr>
                </pic:pic>
              </a:graphicData>
            </a:graphic>
          </wp:anchor>
        </w:drawing>
      </w:r>
    </w:p>
    <w:p>
      <w:pPr>
        <w:pStyle w:val="15"/>
        <w:autoSpaceDE w:val="0"/>
        <w:adjustRightInd w:val="0"/>
        <w:spacing w:beforeAutospacing="0" w:line="600" w:lineRule="exact"/>
        <w:jc w:val="both"/>
        <w:rPr>
          <w:rFonts w:hint="default" w:ascii="方正仿宋_GBK" w:hAnsi="方正仿宋_GBK" w:eastAsia="方正仿宋_GBK" w:cs="方正仿宋_GBK"/>
          <w:sz w:val="32"/>
          <w:szCs w:val="32"/>
          <w:shd w:val="clear" w:color="auto" w:fill="FFFFFF"/>
        </w:rPr>
      </w:pPr>
      <w:r>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6178550" cy="8338185"/>
            <wp:effectExtent l="0" t="0" r="0"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78550" cy="8338185"/>
                    </a:xfrm>
                    <a:prstGeom prst="rect">
                      <a:avLst/>
                    </a:prstGeom>
                  </pic:spPr>
                </pic:pic>
              </a:graphicData>
            </a:graphic>
          </wp:anchor>
        </w:drawing>
      </w:r>
    </w:p>
    <w:p>
      <w:pPr>
        <w:spacing w:line="579" w:lineRule="exact"/>
        <w:rPr>
          <w:rFonts w:ascii="Times New Roman" w:hAnsi="Times New Roman" w:eastAsia="方正仿宋_GBK"/>
          <w:sz w:val="32"/>
          <w:szCs w:val="32"/>
        </w:rPr>
      </w:pPr>
      <w:r>
        <w:drawing>
          <wp:anchor distT="0" distB="0" distL="114300" distR="114300" simplePos="0" relativeHeight="251661312" behindDoc="0" locked="0" layoutInCell="1" allowOverlap="1">
            <wp:simplePos x="0" y="0"/>
            <wp:positionH relativeFrom="column">
              <wp:posOffset>635</wp:posOffset>
            </wp:positionH>
            <wp:positionV relativeFrom="paragraph">
              <wp:posOffset>0</wp:posOffset>
            </wp:positionV>
            <wp:extent cx="6139815" cy="772541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39815" cy="7725410"/>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6150610" cy="837057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50610" cy="8370570"/>
                    </a:xfrm>
                    <a:prstGeom prst="rect">
                      <a:avLst/>
                    </a:prstGeom>
                  </pic:spPr>
                </pic:pic>
              </a:graphicData>
            </a:graphic>
          </wp:anchor>
        </w:drawing>
      </w:r>
    </w:p>
    <w:p>
      <w:pPr>
        <w:spacing w:line="579" w:lineRule="exact"/>
        <w:rPr>
          <w:rFonts w:ascii="Times New Roman" w:hAnsi="Times New Roman" w:eastAsia="方正仿宋_GBK"/>
          <w:sz w:val="32"/>
          <w:szCs w:val="32"/>
        </w:rPr>
      </w:pPr>
      <w:r>
        <w:drawing>
          <wp:anchor distT="0" distB="0" distL="114300" distR="114300" simplePos="0" relativeHeight="251663360" behindDoc="0" locked="0" layoutInCell="1" allowOverlap="1">
            <wp:simplePos x="0" y="0"/>
            <wp:positionH relativeFrom="column">
              <wp:posOffset>635</wp:posOffset>
            </wp:positionH>
            <wp:positionV relativeFrom="paragraph">
              <wp:posOffset>444500</wp:posOffset>
            </wp:positionV>
            <wp:extent cx="6131560" cy="7109460"/>
            <wp:effectExtent l="0" t="0" r="254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31560" cy="7109460"/>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drawing>
          <wp:anchor distT="0" distB="0" distL="114300" distR="114300" simplePos="0" relativeHeight="251664384" behindDoc="0" locked="0" layoutInCell="1" allowOverlap="1">
            <wp:simplePos x="0" y="0"/>
            <wp:positionH relativeFrom="column">
              <wp:posOffset>635</wp:posOffset>
            </wp:positionH>
            <wp:positionV relativeFrom="paragraph">
              <wp:posOffset>0</wp:posOffset>
            </wp:positionV>
            <wp:extent cx="6191885" cy="821245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191885" cy="8212455"/>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drawing>
          <wp:anchor distT="0" distB="0" distL="114300" distR="114300" simplePos="0" relativeHeight="251667456" behindDoc="1" locked="0" layoutInCell="1" allowOverlap="1">
            <wp:simplePos x="0" y="0"/>
            <wp:positionH relativeFrom="column">
              <wp:posOffset>52070</wp:posOffset>
            </wp:positionH>
            <wp:positionV relativeFrom="paragraph">
              <wp:posOffset>624205</wp:posOffset>
            </wp:positionV>
            <wp:extent cx="5986780" cy="5493385"/>
            <wp:effectExtent l="0" t="0" r="0" b="0"/>
            <wp:wrapTight wrapText="bothSides">
              <wp:wrapPolygon>
                <wp:start x="0" y="0"/>
                <wp:lineTo x="0" y="21498"/>
                <wp:lineTo x="21513" y="21498"/>
                <wp:lineTo x="21513"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86780" cy="5493385"/>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drawing>
          <wp:anchor distT="0" distB="0" distL="114300" distR="114300" simplePos="0" relativeHeight="251666432" behindDoc="1" locked="0" layoutInCell="1" allowOverlap="1">
            <wp:simplePos x="0" y="0"/>
            <wp:positionH relativeFrom="column">
              <wp:posOffset>-18415</wp:posOffset>
            </wp:positionH>
            <wp:positionV relativeFrom="paragraph">
              <wp:posOffset>497205</wp:posOffset>
            </wp:positionV>
            <wp:extent cx="6188075" cy="4881245"/>
            <wp:effectExtent l="0" t="0" r="3175" b="0"/>
            <wp:wrapTight wrapText="bothSides">
              <wp:wrapPolygon>
                <wp:start x="0" y="0"/>
                <wp:lineTo x="0" y="21496"/>
                <wp:lineTo x="21545" y="21496"/>
                <wp:lineTo x="21545"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8075" cy="4881245"/>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drawing>
          <wp:anchor distT="0" distB="0" distL="114300" distR="114300" simplePos="0" relativeHeight="251665408" behindDoc="0" locked="0" layoutInCell="1" allowOverlap="1">
            <wp:simplePos x="0" y="0"/>
            <wp:positionH relativeFrom="column">
              <wp:posOffset>19685</wp:posOffset>
            </wp:positionH>
            <wp:positionV relativeFrom="paragraph">
              <wp:posOffset>541655</wp:posOffset>
            </wp:positionV>
            <wp:extent cx="6127750" cy="7003415"/>
            <wp:effectExtent l="0" t="0" r="6350" b="698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7750" cy="7003415"/>
                    </a:xfrm>
                    <a:prstGeom prst="rect">
                      <a:avLst/>
                    </a:prstGeom>
                  </pic:spPr>
                </pic:pic>
              </a:graphicData>
            </a:graphic>
          </wp:anchor>
        </w:drawing>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sectPr>
      <w:footerReference r:id="rId3" w:type="default"/>
      <w:footerReference r:id="rId4" w:type="even"/>
      <w:pgSz w:w="11906" w:h="16838"/>
      <w:pgMar w:top="1440" w:right="1080" w:bottom="1440" w:left="1080"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7641"/>
    </w:sdtPr>
    <w:sdtEndPr>
      <w:rPr>
        <w:rFonts w:ascii="宋体" w:hAnsi="宋体"/>
        <w:sz w:val="28"/>
        <w:szCs w:val="28"/>
      </w:rPr>
    </w:sdtEnd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7650"/>
    </w:sdtPr>
    <w:sdtEndPr>
      <w:rPr>
        <w:rFonts w:ascii="宋体" w:hAnsi="宋体"/>
        <w:sz w:val="28"/>
        <w:szCs w:val="28"/>
      </w:rPr>
    </w:sdtEndPr>
    <w:sdtContent>
      <w:p>
        <w:pPr>
          <w:pStyle w:val="5"/>
          <w:ind w:right="72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81664"/>
    <w:multiLevelType w:val="multilevel"/>
    <w:tmpl w:val="35F81664"/>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MDM0OGQ0OGRhZTlhNTNmOTg0OTdkYzU2ZDc2NWEifQ=="/>
  </w:docVars>
  <w:rsids>
    <w:rsidRoot w:val="004F7D1D"/>
    <w:rsid w:val="00001237"/>
    <w:rsid w:val="000022FC"/>
    <w:rsid w:val="00006FB1"/>
    <w:rsid w:val="00007F72"/>
    <w:rsid w:val="0001271B"/>
    <w:rsid w:val="00013029"/>
    <w:rsid w:val="00016583"/>
    <w:rsid w:val="00022199"/>
    <w:rsid w:val="00023A0B"/>
    <w:rsid w:val="00023A4C"/>
    <w:rsid w:val="00042219"/>
    <w:rsid w:val="00045002"/>
    <w:rsid w:val="00047C7A"/>
    <w:rsid w:val="00053834"/>
    <w:rsid w:val="000551A4"/>
    <w:rsid w:val="000574E4"/>
    <w:rsid w:val="000624D8"/>
    <w:rsid w:val="000659D8"/>
    <w:rsid w:val="0007330D"/>
    <w:rsid w:val="00075914"/>
    <w:rsid w:val="00075926"/>
    <w:rsid w:val="00076048"/>
    <w:rsid w:val="0008069B"/>
    <w:rsid w:val="0008126A"/>
    <w:rsid w:val="0008570C"/>
    <w:rsid w:val="0008604D"/>
    <w:rsid w:val="00091047"/>
    <w:rsid w:val="00091B93"/>
    <w:rsid w:val="0009284B"/>
    <w:rsid w:val="00093301"/>
    <w:rsid w:val="00096685"/>
    <w:rsid w:val="000A60FC"/>
    <w:rsid w:val="000C166E"/>
    <w:rsid w:val="000C3167"/>
    <w:rsid w:val="000C35CD"/>
    <w:rsid w:val="000C594E"/>
    <w:rsid w:val="000C63A4"/>
    <w:rsid w:val="000D13FE"/>
    <w:rsid w:val="000D2E8F"/>
    <w:rsid w:val="000D3DD2"/>
    <w:rsid w:val="000D6437"/>
    <w:rsid w:val="000D6989"/>
    <w:rsid w:val="000D76F6"/>
    <w:rsid w:val="000F05AD"/>
    <w:rsid w:val="000F1499"/>
    <w:rsid w:val="000F2A8E"/>
    <w:rsid w:val="000F2E2A"/>
    <w:rsid w:val="000F5707"/>
    <w:rsid w:val="0010264D"/>
    <w:rsid w:val="0010520F"/>
    <w:rsid w:val="00106A76"/>
    <w:rsid w:val="00114651"/>
    <w:rsid w:val="00122441"/>
    <w:rsid w:val="00125C07"/>
    <w:rsid w:val="00132973"/>
    <w:rsid w:val="00141394"/>
    <w:rsid w:val="0014404E"/>
    <w:rsid w:val="00146AE8"/>
    <w:rsid w:val="001525DD"/>
    <w:rsid w:val="00152A70"/>
    <w:rsid w:val="00153344"/>
    <w:rsid w:val="00157D21"/>
    <w:rsid w:val="00161474"/>
    <w:rsid w:val="00165A74"/>
    <w:rsid w:val="001768A2"/>
    <w:rsid w:val="00184E88"/>
    <w:rsid w:val="00191ADC"/>
    <w:rsid w:val="00191B7C"/>
    <w:rsid w:val="00193F69"/>
    <w:rsid w:val="001957F9"/>
    <w:rsid w:val="001B1FBD"/>
    <w:rsid w:val="001B2B76"/>
    <w:rsid w:val="001C0A7C"/>
    <w:rsid w:val="001C0FEA"/>
    <w:rsid w:val="001D0CAA"/>
    <w:rsid w:val="001D4028"/>
    <w:rsid w:val="001D4937"/>
    <w:rsid w:val="001E1AED"/>
    <w:rsid w:val="001E31D9"/>
    <w:rsid w:val="001E781F"/>
    <w:rsid w:val="00202E0A"/>
    <w:rsid w:val="00202E82"/>
    <w:rsid w:val="002113CA"/>
    <w:rsid w:val="002132E9"/>
    <w:rsid w:val="00213635"/>
    <w:rsid w:val="00223934"/>
    <w:rsid w:val="00226F1D"/>
    <w:rsid w:val="00242727"/>
    <w:rsid w:val="00246006"/>
    <w:rsid w:val="002466BD"/>
    <w:rsid w:val="00246AA4"/>
    <w:rsid w:val="00252849"/>
    <w:rsid w:val="002605A5"/>
    <w:rsid w:val="0026529F"/>
    <w:rsid w:val="0027005A"/>
    <w:rsid w:val="002714FA"/>
    <w:rsid w:val="002773F0"/>
    <w:rsid w:val="0028052B"/>
    <w:rsid w:val="00280A93"/>
    <w:rsid w:val="002814B0"/>
    <w:rsid w:val="00282C70"/>
    <w:rsid w:val="00283684"/>
    <w:rsid w:val="00286440"/>
    <w:rsid w:val="002959B6"/>
    <w:rsid w:val="002A08DF"/>
    <w:rsid w:val="002A6480"/>
    <w:rsid w:val="002B1771"/>
    <w:rsid w:val="002B1B81"/>
    <w:rsid w:val="002B41F1"/>
    <w:rsid w:val="002B6842"/>
    <w:rsid w:val="002C3695"/>
    <w:rsid w:val="002C4122"/>
    <w:rsid w:val="002D0FD2"/>
    <w:rsid w:val="002D1629"/>
    <w:rsid w:val="002D29B3"/>
    <w:rsid w:val="002D2A88"/>
    <w:rsid w:val="002E2546"/>
    <w:rsid w:val="002E33C5"/>
    <w:rsid w:val="002E46A9"/>
    <w:rsid w:val="002F32C6"/>
    <w:rsid w:val="002F37A9"/>
    <w:rsid w:val="0030024E"/>
    <w:rsid w:val="0030179E"/>
    <w:rsid w:val="003019D9"/>
    <w:rsid w:val="00303696"/>
    <w:rsid w:val="00307296"/>
    <w:rsid w:val="00314507"/>
    <w:rsid w:val="00320126"/>
    <w:rsid w:val="00325055"/>
    <w:rsid w:val="00336A96"/>
    <w:rsid w:val="00341606"/>
    <w:rsid w:val="00343038"/>
    <w:rsid w:val="00343C37"/>
    <w:rsid w:val="00346387"/>
    <w:rsid w:val="0034700C"/>
    <w:rsid w:val="00352AD6"/>
    <w:rsid w:val="00357A28"/>
    <w:rsid w:val="00367516"/>
    <w:rsid w:val="00370393"/>
    <w:rsid w:val="003736C2"/>
    <w:rsid w:val="00375A03"/>
    <w:rsid w:val="00375FC9"/>
    <w:rsid w:val="00382E4C"/>
    <w:rsid w:val="00383149"/>
    <w:rsid w:val="00383298"/>
    <w:rsid w:val="003872D5"/>
    <w:rsid w:val="00391EF1"/>
    <w:rsid w:val="00392267"/>
    <w:rsid w:val="00393A16"/>
    <w:rsid w:val="0039559F"/>
    <w:rsid w:val="003A2F32"/>
    <w:rsid w:val="003A5C3B"/>
    <w:rsid w:val="003B11A5"/>
    <w:rsid w:val="003B33C4"/>
    <w:rsid w:val="003B36C2"/>
    <w:rsid w:val="003C1664"/>
    <w:rsid w:val="003D10D3"/>
    <w:rsid w:val="003D14F0"/>
    <w:rsid w:val="003D182E"/>
    <w:rsid w:val="003D7234"/>
    <w:rsid w:val="003D7504"/>
    <w:rsid w:val="003E4EB6"/>
    <w:rsid w:val="003F5CB4"/>
    <w:rsid w:val="003F6450"/>
    <w:rsid w:val="00404F6D"/>
    <w:rsid w:val="00420825"/>
    <w:rsid w:val="00430B72"/>
    <w:rsid w:val="0043417F"/>
    <w:rsid w:val="004358F8"/>
    <w:rsid w:val="00437D88"/>
    <w:rsid w:val="004417DC"/>
    <w:rsid w:val="00445520"/>
    <w:rsid w:val="00457BB2"/>
    <w:rsid w:val="00462522"/>
    <w:rsid w:val="00462595"/>
    <w:rsid w:val="004640DC"/>
    <w:rsid w:val="004643A4"/>
    <w:rsid w:val="004756B4"/>
    <w:rsid w:val="00486F34"/>
    <w:rsid w:val="0049017F"/>
    <w:rsid w:val="00492FB3"/>
    <w:rsid w:val="004948BE"/>
    <w:rsid w:val="00496C6A"/>
    <w:rsid w:val="004B1650"/>
    <w:rsid w:val="004C42ED"/>
    <w:rsid w:val="004C44C0"/>
    <w:rsid w:val="004C5FBC"/>
    <w:rsid w:val="004C60BD"/>
    <w:rsid w:val="004D1E02"/>
    <w:rsid w:val="004E592A"/>
    <w:rsid w:val="004E6E1A"/>
    <w:rsid w:val="004F0A5F"/>
    <w:rsid w:val="004F1853"/>
    <w:rsid w:val="004F7D1D"/>
    <w:rsid w:val="00500779"/>
    <w:rsid w:val="00500B1D"/>
    <w:rsid w:val="005010EF"/>
    <w:rsid w:val="00501239"/>
    <w:rsid w:val="00504CD4"/>
    <w:rsid w:val="00506DF4"/>
    <w:rsid w:val="00507823"/>
    <w:rsid w:val="0051710C"/>
    <w:rsid w:val="005174B9"/>
    <w:rsid w:val="00523146"/>
    <w:rsid w:val="00536713"/>
    <w:rsid w:val="00543257"/>
    <w:rsid w:val="00553CCE"/>
    <w:rsid w:val="00554662"/>
    <w:rsid w:val="00565E51"/>
    <w:rsid w:val="00566A57"/>
    <w:rsid w:val="00572736"/>
    <w:rsid w:val="00575BFF"/>
    <w:rsid w:val="0058350C"/>
    <w:rsid w:val="005858C5"/>
    <w:rsid w:val="00590B97"/>
    <w:rsid w:val="00594E53"/>
    <w:rsid w:val="00595C24"/>
    <w:rsid w:val="005A1227"/>
    <w:rsid w:val="005A1598"/>
    <w:rsid w:val="005A4606"/>
    <w:rsid w:val="005A4AD7"/>
    <w:rsid w:val="005B0F11"/>
    <w:rsid w:val="005B18AA"/>
    <w:rsid w:val="005B3188"/>
    <w:rsid w:val="005B518F"/>
    <w:rsid w:val="005C5DAD"/>
    <w:rsid w:val="005D1985"/>
    <w:rsid w:val="005D45CC"/>
    <w:rsid w:val="005D64B9"/>
    <w:rsid w:val="005E18A6"/>
    <w:rsid w:val="005E2D4E"/>
    <w:rsid w:val="005E2D50"/>
    <w:rsid w:val="005F1960"/>
    <w:rsid w:val="005F5471"/>
    <w:rsid w:val="00600273"/>
    <w:rsid w:val="00600614"/>
    <w:rsid w:val="006115F1"/>
    <w:rsid w:val="00611830"/>
    <w:rsid w:val="006135C5"/>
    <w:rsid w:val="00620295"/>
    <w:rsid w:val="00620BCE"/>
    <w:rsid w:val="00623ADA"/>
    <w:rsid w:val="00634780"/>
    <w:rsid w:val="00643582"/>
    <w:rsid w:val="00643697"/>
    <w:rsid w:val="00656D28"/>
    <w:rsid w:val="0066309A"/>
    <w:rsid w:val="00663554"/>
    <w:rsid w:val="0066585E"/>
    <w:rsid w:val="00665ACF"/>
    <w:rsid w:val="006809FA"/>
    <w:rsid w:val="00682136"/>
    <w:rsid w:val="0068302E"/>
    <w:rsid w:val="006845B1"/>
    <w:rsid w:val="00691A69"/>
    <w:rsid w:val="00692263"/>
    <w:rsid w:val="0069619A"/>
    <w:rsid w:val="00697C41"/>
    <w:rsid w:val="006A0F3F"/>
    <w:rsid w:val="006A14B8"/>
    <w:rsid w:val="006A37F6"/>
    <w:rsid w:val="006A5F70"/>
    <w:rsid w:val="006B02D6"/>
    <w:rsid w:val="006B3172"/>
    <w:rsid w:val="006B5B3E"/>
    <w:rsid w:val="006C01C3"/>
    <w:rsid w:val="006D0C33"/>
    <w:rsid w:val="006D1609"/>
    <w:rsid w:val="006D2854"/>
    <w:rsid w:val="006D340F"/>
    <w:rsid w:val="006E0BEC"/>
    <w:rsid w:val="006E455F"/>
    <w:rsid w:val="006E5483"/>
    <w:rsid w:val="006F490C"/>
    <w:rsid w:val="006F7539"/>
    <w:rsid w:val="00707419"/>
    <w:rsid w:val="00714828"/>
    <w:rsid w:val="00715383"/>
    <w:rsid w:val="007158F8"/>
    <w:rsid w:val="0071734A"/>
    <w:rsid w:val="00722E49"/>
    <w:rsid w:val="007252E3"/>
    <w:rsid w:val="007312DD"/>
    <w:rsid w:val="00737FA4"/>
    <w:rsid w:val="00742C4D"/>
    <w:rsid w:val="00743680"/>
    <w:rsid w:val="00761F93"/>
    <w:rsid w:val="007620B8"/>
    <w:rsid w:val="00762CF8"/>
    <w:rsid w:val="00765678"/>
    <w:rsid w:val="00765DF5"/>
    <w:rsid w:val="007713EB"/>
    <w:rsid w:val="0077343F"/>
    <w:rsid w:val="00791CE4"/>
    <w:rsid w:val="0079585D"/>
    <w:rsid w:val="007B10D4"/>
    <w:rsid w:val="007B22D6"/>
    <w:rsid w:val="007B3E2A"/>
    <w:rsid w:val="007B4117"/>
    <w:rsid w:val="007B53D8"/>
    <w:rsid w:val="007B5ACF"/>
    <w:rsid w:val="007B6182"/>
    <w:rsid w:val="007C1BC0"/>
    <w:rsid w:val="007C4C9B"/>
    <w:rsid w:val="007C67ED"/>
    <w:rsid w:val="007C7861"/>
    <w:rsid w:val="007C7DE8"/>
    <w:rsid w:val="007C7FA4"/>
    <w:rsid w:val="007D2AEA"/>
    <w:rsid w:val="007D57B1"/>
    <w:rsid w:val="007E0B4D"/>
    <w:rsid w:val="007E0D27"/>
    <w:rsid w:val="007E251D"/>
    <w:rsid w:val="007E6982"/>
    <w:rsid w:val="007E6A39"/>
    <w:rsid w:val="007E7FAE"/>
    <w:rsid w:val="007F68E5"/>
    <w:rsid w:val="007F6D7B"/>
    <w:rsid w:val="007F7C69"/>
    <w:rsid w:val="00801BFF"/>
    <w:rsid w:val="00803270"/>
    <w:rsid w:val="008051CB"/>
    <w:rsid w:val="00805D05"/>
    <w:rsid w:val="00813B4F"/>
    <w:rsid w:val="00827B22"/>
    <w:rsid w:val="00830BF3"/>
    <w:rsid w:val="00833B65"/>
    <w:rsid w:val="008354D2"/>
    <w:rsid w:val="00837ABA"/>
    <w:rsid w:val="00846773"/>
    <w:rsid w:val="008510C6"/>
    <w:rsid w:val="008560C6"/>
    <w:rsid w:val="00864EB6"/>
    <w:rsid w:val="00867AA9"/>
    <w:rsid w:val="00876439"/>
    <w:rsid w:val="00880920"/>
    <w:rsid w:val="0089117F"/>
    <w:rsid w:val="00893BF5"/>
    <w:rsid w:val="00895F20"/>
    <w:rsid w:val="008A13B7"/>
    <w:rsid w:val="008A622D"/>
    <w:rsid w:val="008C2500"/>
    <w:rsid w:val="008D2570"/>
    <w:rsid w:val="008D7CF1"/>
    <w:rsid w:val="008E3C27"/>
    <w:rsid w:val="008E5A19"/>
    <w:rsid w:val="008E7590"/>
    <w:rsid w:val="008F1CA6"/>
    <w:rsid w:val="008F2DC2"/>
    <w:rsid w:val="008F731A"/>
    <w:rsid w:val="00903343"/>
    <w:rsid w:val="00905626"/>
    <w:rsid w:val="00905727"/>
    <w:rsid w:val="00911BC8"/>
    <w:rsid w:val="00914030"/>
    <w:rsid w:val="00914195"/>
    <w:rsid w:val="00921660"/>
    <w:rsid w:val="0092558D"/>
    <w:rsid w:val="00926FE2"/>
    <w:rsid w:val="00933A24"/>
    <w:rsid w:val="00936EDC"/>
    <w:rsid w:val="00940465"/>
    <w:rsid w:val="00942ED0"/>
    <w:rsid w:val="00943A5A"/>
    <w:rsid w:val="0094655E"/>
    <w:rsid w:val="00946D33"/>
    <w:rsid w:val="009561D9"/>
    <w:rsid w:val="009633A1"/>
    <w:rsid w:val="00963517"/>
    <w:rsid w:val="009653AE"/>
    <w:rsid w:val="00971553"/>
    <w:rsid w:val="00972AB0"/>
    <w:rsid w:val="00975086"/>
    <w:rsid w:val="0097571A"/>
    <w:rsid w:val="009762F9"/>
    <w:rsid w:val="00983001"/>
    <w:rsid w:val="00984446"/>
    <w:rsid w:val="009850BC"/>
    <w:rsid w:val="0098712E"/>
    <w:rsid w:val="00994723"/>
    <w:rsid w:val="009A0551"/>
    <w:rsid w:val="009A0C0F"/>
    <w:rsid w:val="009B2E87"/>
    <w:rsid w:val="009B77D4"/>
    <w:rsid w:val="009C4219"/>
    <w:rsid w:val="009C5031"/>
    <w:rsid w:val="009C6A03"/>
    <w:rsid w:val="009C7541"/>
    <w:rsid w:val="009C75CA"/>
    <w:rsid w:val="009D4A6E"/>
    <w:rsid w:val="009D620D"/>
    <w:rsid w:val="009E0D21"/>
    <w:rsid w:val="009E64A8"/>
    <w:rsid w:val="009E6734"/>
    <w:rsid w:val="009E6EFD"/>
    <w:rsid w:val="009F01A9"/>
    <w:rsid w:val="009F1014"/>
    <w:rsid w:val="009F150F"/>
    <w:rsid w:val="009F20C4"/>
    <w:rsid w:val="009F3FF0"/>
    <w:rsid w:val="00A04396"/>
    <w:rsid w:val="00A05F72"/>
    <w:rsid w:val="00A07288"/>
    <w:rsid w:val="00A174AB"/>
    <w:rsid w:val="00A21DCD"/>
    <w:rsid w:val="00A22475"/>
    <w:rsid w:val="00A244DA"/>
    <w:rsid w:val="00A33743"/>
    <w:rsid w:val="00A33F5E"/>
    <w:rsid w:val="00A35F07"/>
    <w:rsid w:val="00A3721F"/>
    <w:rsid w:val="00A45A23"/>
    <w:rsid w:val="00A52D34"/>
    <w:rsid w:val="00A62E6B"/>
    <w:rsid w:val="00A65028"/>
    <w:rsid w:val="00A671D0"/>
    <w:rsid w:val="00A712EA"/>
    <w:rsid w:val="00A712EB"/>
    <w:rsid w:val="00A800F0"/>
    <w:rsid w:val="00A8020D"/>
    <w:rsid w:val="00A802E9"/>
    <w:rsid w:val="00A80B6C"/>
    <w:rsid w:val="00A84DC3"/>
    <w:rsid w:val="00A947F9"/>
    <w:rsid w:val="00A969D6"/>
    <w:rsid w:val="00AA324B"/>
    <w:rsid w:val="00AA496A"/>
    <w:rsid w:val="00AB25DF"/>
    <w:rsid w:val="00AB4963"/>
    <w:rsid w:val="00AB6272"/>
    <w:rsid w:val="00AC6F85"/>
    <w:rsid w:val="00AC7A34"/>
    <w:rsid w:val="00AD756E"/>
    <w:rsid w:val="00AE0A20"/>
    <w:rsid w:val="00AE4156"/>
    <w:rsid w:val="00AE5165"/>
    <w:rsid w:val="00B01670"/>
    <w:rsid w:val="00B027A4"/>
    <w:rsid w:val="00B066E1"/>
    <w:rsid w:val="00B1352B"/>
    <w:rsid w:val="00B17B95"/>
    <w:rsid w:val="00B24E9D"/>
    <w:rsid w:val="00B24FA7"/>
    <w:rsid w:val="00B257E3"/>
    <w:rsid w:val="00B3788A"/>
    <w:rsid w:val="00B429AE"/>
    <w:rsid w:val="00B441A4"/>
    <w:rsid w:val="00B513E2"/>
    <w:rsid w:val="00B522A7"/>
    <w:rsid w:val="00B54CE7"/>
    <w:rsid w:val="00B558CC"/>
    <w:rsid w:val="00B56688"/>
    <w:rsid w:val="00B65450"/>
    <w:rsid w:val="00B67103"/>
    <w:rsid w:val="00B72347"/>
    <w:rsid w:val="00B84DE2"/>
    <w:rsid w:val="00B86388"/>
    <w:rsid w:val="00B97FB6"/>
    <w:rsid w:val="00BA735B"/>
    <w:rsid w:val="00BB3B39"/>
    <w:rsid w:val="00BC0904"/>
    <w:rsid w:val="00BC26A9"/>
    <w:rsid w:val="00BC2C3D"/>
    <w:rsid w:val="00BC650E"/>
    <w:rsid w:val="00BD0BB9"/>
    <w:rsid w:val="00BD5FA5"/>
    <w:rsid w:val="00BD718F"/>
    <w:rsid w:val="00BE3E94"/>
    <w:rsid w:val="00BE4327"/>
    <w:rsid w:val="00BE573E"/>
    <w:rsid w:val="00BF0773"/>
    <w:rsid w:val="00BF1DBC"/>
    <w:rsid w:val="00BF67E7"/>
    <w:rsid w:val="00C000E9"/>
    <w:rsid w:val="00C066EF"/>
    <w:rsid w:val="00C07B83"/>
    <w:rsid w:val="00C153D6"/>
    <w:rsid w:val="00C205C8"/>
    <w:rsid w:val="00C2684C"/>
    <w:rsid w:val="00C2696C"/>
    <w:rsid w:val="00C27B82"/>
    <w:rsid w:val="00C34337"/>
    <w:rsid w:val="00C36470"/>
    <w:rsid w:val="00C427D3"/>
    <w:rsid w:val="00C446F8"/>
    <w:rsid w:val="00C47446"/>
    <w:rsid w:val="00C5622A"/>
    <w:rsid w:val="00C5758E"/>
    <w:rsid w:val="00C601F9"/>
    <w:rsid w:val="00C6287D"/>
    <w:rsid w:val="00C73BA6"/>
    <w:rsid w:val="00C73F69"/>
    <w:rsid w:val="00C7602D"/>
    <w:rsid w:val="00C827DC"/>
    <w:rsid w:val="00C84FD9"/>
    <w:rsid w:val="00C94C03"/>
    <w:rsid w:val="00C95346"/>
    <w:rsid w:val="00CA4340"/>
    <w:rsid w:val="00CA543F"/>
    <w:rsid w:val="00CA559D"/>
    <w:rsid w:val="00CB0296"/>
    <w:rsid w:val="00CB1498"/>
    <w:rsid w:val="00CC0864"/>
    <w:rsid w:val="00CC4A96"/>
    <w:rsid w:val="00CC50E8"/>
    <w:rsid w:val="00CC6068"/>
    <w:rsid w:val="00CD1C4A"/>
    <w:rsid w:val="00CD1D07"/>
    <w:rsid w:val="00CD40B5"/>
    <w:rsid w:val="00CE1014"/>
    <w:rsid w:val="00CE5CA7"/>
    <w:rsid w:val="00CF0A40"/>
    <w:rsid w:val="00CF42ED"/>
    <w:rsid w:val="00CF7CA9"/>
    <w:rsid w:val="00CF7F45"/>
    <w:rsid w:val="00D0143D"/>
    <w:rsid w:val="00D10AB7"/>
    <w:rsid w:val="00D160DD"/>
    <w:rsid w:val="00D21CDE"/>
    <w:rsid w:val="00D30192"/>
    <w:rsid w:val="00D4098D"/>
    <w:rsid w:val="00D40ADE"/>
    <w:rsid w:val="00D40F18"/>
    <w:rsid w:val="00D411DD"/>
    <w:rsid w:val="00D46486"/>
    <w:rsid w:val="00D47145"/>
    <w:rsid w:val="00D62AEA"/>
    <w:rsid w:val="00D6371B"/>
    <w:rsid w:val="00D64C2C"/>
    <w:rsid w:val="00D66063"/>
    <w:rsid w:val="00D667E7"/>
    <w:rsid w:val="00D71493"/>
    <w:rsid w:val="00D741E6"/>
    <w:rsid w:val="00D77704"/>
    <w:rsid w:val="00D77D37"/>
    <w:rsid w:val="00D80A8C"/>
    <w:rsid w:val="00D80BC2"/>
    <w:rsid w:val="00D845B3"/>
    <w:rsid w:val="00D8620E"/>
    <w:rsid w:val="00DA59D7"/>
    <w:rsid w:val="00DA5B3B"/>
    <w:rsid w:val="00DA7788"/>
    <w:rsid w:val="00DA7FE6"/>
    <w:rsid w:val="00DB0EC5"/>
    <w:rsid w:val="00DB4539"/>
    <w:rsid w:val="00DB4A79"/>
    <w:rsid w:val="00DB5713"/>
    <w:rsid w:val="00DB5B38"/>
    <w:rsid w:val="00DC0C7C"/>
    <w:rsid w:val="00DC6167"/>
    <w:rsid w:val="00DC627B"/>
    <w:rsid w:val="00DD0570"/>
    <w:rsid w:val="00DD2BDB"/>
    <w:rsid w:val="00DE0294"/>
    <w:rsid w:val="00DE05DF"/>
    <w:rsid w:val="00DE0E3D"/>
    <w:rsid w:val="00DE3685"/>
    <w:rsid w:val="00DE4324"/>
    <w:rsid w:val="00DE5805"/>
    <w:rsid w:val="00DE669A"/>
    <w:rsid w:val="00DF0BA7"/>
    <w:rsid w:val="00DF2F13"/>
    <w:rsid w:val="00DF4175"/>
    <w:rsid w:val="00E00D68"/>
    <w:rsid w:val="00E01CEB"/>
    <w:rsid w:val="00E1176C"/>
    <w:rsid w:val="00E11FB2"/>
    <w:rsid w:val="00E12383"/>
    <w:rsid w:val="00E219F9"/>
    <w:rsid w:val="00E275D0"/>
    <w:rsid w:val="00E40ED1"/>
    <w:rsid w:val="00E4747D"/>
    <w:rsid w:val="00E474B7"/>
    <w:rsid w:val="00E630E0"/>
    <w:rsid w:val="00E65CB3"/>
    <w:rsid w:val="00E66BF8"/>
    <w:rsid w:val="00E712B9"/>
    <w:rsid w:val="00E71723"/>
    <w:rsid w:val="00E7526E"/>
    <w:rsid w:val="00E8305B"/>
    <w:rsid w:val="00E83081"/>
    <w:rsid w:val="00E87A11"/>
    <w:rsid w:val="00E94BD0"/>
    <w:rsid w:val="00E96899"/>
    <w:rsid w:val="00EA2D3B"/>
    <w:rsid w:val="00EC09E7"/>
    <w:rsid w:val="00EC3323"/>
    <w:rsid w:val="00EC56A2"/>
    <w:rsid w:val="00ED0D85"/>
    <w:rsid w:val="00EE21B6"/>
    <w:rsid w:val="00EE232D"/>
    <w:rsid w:val="00EE2E74"/>
    <w:rsid w:val="00EF1A1F"/>
    <w:rsid w:val="00EF1B14"/>
    <w:rsid w:val="00EF5D56"/>
    <w:rsid w:val="00EF782E"/>
    <w:rsid w:val="00EF7D6B"/>
    <w:rsid w:val="00F11A07"/>
    <w:rsid w:val="00F13F6F"/>
    <w:rsid w:val="00F2429A"/>
    <w:rsid w:val="00F258CE"/>
    <w:rsid w:val="00F3417E"/>
    <w:rsid w:val="00F3500D"/>
    <w:rsid w:val="00F4486C"/>
    <w:rsid w:val="00F47B2C"/>
    <w:rsid w:val="00F52CBD"/>
    <w:rsid w:val="00F565DA"/>
    <w:rsid w:val="00F605C0"/>
    <w:rsid w:val="00F66152"/>
    <w:rsid w:val="00F66710"/>
    <w:rsid w:val="00F670B3"/>
    <w:rsid w:val="00F70EC7"/>
    <w:rsid w:val="00F715D5"/>
    <w:rsid w:val="00F75026"/>
    <w:rsid w:val="00F80170"/>
    <w:rsid w:val="00F83302"/>
    <w:rsid w:val="00F84112"/>
    <w:rsid w:val="00F84AC6"/>
    <w:rsid w:val="00F8669F"/>
    <w:rsid w:val="00F86A3C"/>
    <w:rsid w:val="00F90464"/>
    <w:rsid w:val="00F9492F"/>
    <w:rsid w:val="00FA00EB"/>
    <w:rsid w:val="00FA32B6"/>
    <w:rsid w:val="00FB4526"/>
    <w:rsid w:val="00FB72CF"/>
    <w:rsid w:val="00FC0C55"/>
    <w:rsid w:val="00FC2169"/>
    <w:rsid w:val="00FC2267"/>
    <w:rsid w:val="00FC49A3"/>
    <w:rsid w:val="00FC5F96"/>
    <w:rsid w:val="00FD214A"/>
    <w:rsid w:val="00FE12C3"/>
    <w:rsid w:val="00FE28C5"/>
    <w:rsid w:val="00FF0456"/>
    <w:rsid w:val="00FF1529"/>
    <w:rsid w:val="03E97903"/>
    <w:rsid w:val="06226A04"/>
    <w:rsid w:val="07A87692"/>
    <w:rsid w:val="0A695B93"/>
    <w:rsid w:val="0B697414"/>
    <w:rsid w:val="0CB078F0"/>
    <w:rsid w:val="0E176BAD"/>
    <w:rsid w:val="157B7D06"/>
    <w:rsid w:val="17E35AF5"/>
    <w:rsid w:val="18CC21E2"/>
    <w:rsid w:val="19D75DEA"/>
    <w:rsid w:val="1E6715B9"/>
    <w:rsid w:val="1FEA2C40"/>
    <w:rsid w:val="22770AA7"/>
    <w:rsid w:val="22F3529E"/>
    <w:rsid w:val="24B0232E"/>
    <w:rsid w:val="24D655A5"/>
    <w:rsid w:val="25227C3D"/>
    <w:rsid w:val="26B01824"/>
    <w:rsid w:val="2AD1632D"/>
    <w:rsid w:val="2B8571FC"/>
    <w:rsid w:val="2C8A5A95"/>
    <w:rsid w:val="2DD31CFB"/>
    <w:rsid w:val="2E7429A0"/>
    <w:rsid w:val="307B2841"/>
    <w:rsid w:val="308D2AC8"/>
    <w:rsid w:val="32CE4C8C"/>
    <w:rsid w:val="35837C7B"/>
    <w:rsid w:val="387636D1"/>
    <w:rsid w:val="39AC5E70"/>
    <w:rsid w:val="3B931FE9"/>
    <w:rsid w:val="3BC5739B"/>
    <w:rsid w:val="3EEC62F6"/>
    <w:rsid w:val="408711A1"/>
    <w:rsid w:val="42410EA1"/>
    <w:rsid w:val="44114909"/>
    <w:rsid w:val="48310C7F"/>
    <w:rsid w:val="490F7139"/>
    <w:rsid w:val="49ED2E59"/>
    <w:rsid w:val="4A0B2FF3"/>
    <w:rsid w:val="4C4F43C4"/>
    <w:rsid w:val="4D194F66"/>
    <w:rsid w:val="4E3C231C"/>
    <w:rsid w:val="5003267F"/>
    <w:rsid w:val="557472B5"/>
    <w:rsid w:val="5B6F7879"/>
    <w:rsid w:val="5C8B2AAC"/>
    <w:rsid w:val="5CEF77EF"/>
    <w:rsid w:val="5EF93FEF"/>
    <w:rsid w:val="606119B2"/>
    <w:rsid w:val="62432D73"/>
    <w:rsid w:val="624912A2"/>
    <w:rsid w:val="698A01EC"/>
    <w:rsid w:val="69B71C01"/>
    <w:rsid w:val="6AC07B00"/>
    <w:rsid w:val="6BF43484"/>
    <w:rsid w:val="6FA63005"/>
    <w:rsid w:val="726B74BA"/>
    <w:rsid w:val="73BD58DE"/>
    <w:rsid w:val="73FA5FDD"/>
    <w:rsid w:val="769A6B6A"/>
    <w:rsid w:val="790430A2"/>
    <w:rsid w:val="7978360C"/>
    <w:rsid w:val="7D5276CF"/>
    <w:rsid w:val="7DB5393D"/>
    <w:rsid w:val="7F6A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sz w:val="20"/>
      <w:szCs w:val="20"/>
    </w:rPr>
  </w:style>
  <w:style w:type="paragraph" w:styleId="3">
    <w:name w:val="Body Text"/>
    <w:basedOn w:val="1"/>
    <w:qFormat/>
    <w:uiPriority w:val="0"/>
    <w:pPr>
      <w:ind w:left="100" w:leftChars="100" w:right="100" w:rightChars="100"/>
    </w:p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页脚 字符"/>
    <w:link w:val="5"/>
    <w:qFormat/>
    <w:uiPriority w:val="99"/>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页眉 字符"/>
    <w:link w:val="6"/>
    <w:qFormat/>
    <w:uiPriority w:val="0"/>
    <w:rPr>
      <w:kern w:val="2"/>
      <w:sz w:val="18"/>
      <w:szCs w:val="18"/>
    </w:rPr>
  </w:style>
  <w:style w:type="paragraph" w:customStyle="1" w:styleId="14">
    <w:name w:val="列出段落1"/>
    <w:basedOn w:val="1"/>
    <w:qFormat/>
    <w:uiPriority w:val="34"/>
    <w:pPr>
      <w:ind w:firstLine="420" w:firstLineChars="200"/>
    </w:pPr>
  </w:style>
  <w:style w:type="paragraph" w:customStyle="1" w:styleId="15">
    <w:name w:val="普通(网站) Char"/>
    <w:basedOn w:val="1"/>
    <w:qFormat/>
    <w:uiPriority w:val="0"/>
    <w:pPr>
      <w:widowControl/>
      <w:spacing w:beforeAutospacing="1" w:afterAutospacing="1"/>
      <w:jc w:val="left"/>
    </w:pPr>
    <w:rPr>
      <w:rFonts w:hint="eastAsia" w:ascii="宋体" w:hAnsi="宋体"/>
      <w:kern w:val="0"/>
      <w:sz w:val="24"/>
      <w:szCs w:val="24"/>
    </w:rPr>
  </w:style>
  <w:style w:type="paragraph" w:customStyle="1" w:styleId="16">
    <w:name w:val="普通(网站) Char Char"/>
    <w:basedOn w:val="1"/>
    <w:qFormat/>
    <w:uiPriority w:val="0"/>
    <w:pPr>
      <w:widowControl/>
      <w:spacing w:beforeAutospacing="1" w:afterAutospacing="1"/>
      <w:jc w:val="left"/>
    </w:pPr>
    <w:rPr>
      <w:rFonts w:hint="eastAsia" w:ascii="宋体" w:hAnsi="宋体"/>
      <w:kern w:val="0"/>
      <w:sz w:val="24"/>
      <w:szCs w:val="24"/>
    </w:rPr>
  </w:style>
  <w:style w:type="character" w:customStyle="1" w:styleId="17">
    <w:name w:val="21"/>
    <w:qFormat/>
    <w:uiPriority w:val="0"/>
    <w:rPr>
      <w:rFonts w:hint="default" w:ascii="Times New Roman" w:hAnsi="Times New Roman" w:cs="Times New Roman"/>
      <w:b/>
    </w:rPr>
  </w:style>
  <w:style w:type="character" w:customStyle="1" w:styleId="18">
    <w:name w:val="16"/>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A5926-E729-464E-84D8-9769CB0216F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1018</Words>
  <Characters>5804</Characters>
  <Lines>48</Lines>
  <Paragraphs>13</Paragraphs>
  <TotalTime>0</TotalTime>
  <ScaleCrop>false</ScaleCrop>
  <LinksUpToDate>false</LinksUpToDate>
  <CharactersWithSpaces>6809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2022-07-26T08:12:00Z</dcterms:created>
  <dc:creator>Administrator</dc:creator>
  <cp:lastModifiedBy>半个夏天</cp:lastModifiedBy>
  <cp:lastPrinted>2021-08-25T06:58:00Z</cp:lastPrinted>
  <dcterms:modified xsi:type="dcterms:W3CDTF">2023-09-28T01:29:38Z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F32B7DCA732049F2836F33995C62DCD9</vt:lpwstr>
  </property>
</Properties>
</file>