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rPr>
          <w:rFonts w:hint="eastAsia" w:ascii="宋体" w:hAnsi="宋体" w:eastAsia="宋体" w:cs="宋体"/>
          <w:sz w:val="32"/>
        </w:rPr>
      </w:pPr>
    </w:p>
    <w:p>
      <w:pPr>
        <w:jc w:val="center"/>
      </w:pPr>
      <w:r>
        <w:rPr>
          <w:rFonts w:ascii="宋体" w:hAnsi="宋体" w:eastAsia="宋体"/>
          <w:sz w:val="44"/>
        </w:rPr>
        <w:t>全国人民代表大会常务委员会关于修改</w:t>
      </w:r>
    </w:p>
    <w:p>
      <w:pPr>
        <w:jc w:val="center"/>
        <w:rPr>
          <w:rFonts w:ascii="宋体" w:hAnsi="宋体" w:eastAsia="宋体"/>
          <w:sz w:val="44"/>
        </w:rPr>
      </w:pPr>
      <w:r>
        <w:rPr>
          <w:rFonts w:ascii="宋体" w:hAnsi="宋体" w:eastAsia="宋体"/>
          <w:sz w:val="44"/>
        </w:rPr>
        <w:t>《中华人民共和国农业技术推广法》、</w:t>
      </w:r>
    </w:p>
    <w:p>
      <w:pPr>
        <w:jc w:val="center"/>
        <w:rPr>
          <w:rFonts w:ascii="宋体" w:hAnsi="宋体" w:eastAsia="宋体"/>
          <w:sz w:val="44"/>
        </w:rPr>
      </w:pPr>
      <w:r>
        <w:rPr>
          <w:rFonts w:ascii="宋体" w:hAnsi="宋体" w:eastAsia="宋体"/>
          <w:sz w:val="44"/>
        </w:rPr>
        <w:t>《中华人民共和国未成年人保护法》、</w:t>
      </w:r>
    </w:p>
    <w:p>
      <w:pPr>
        <w:jc w:val="center"/>
        <w:rPr>
          <w:rFonts w:ascii="宋体" w:hAnsi="宋体" w:eastAsia="宋体"/>
          <w:sz w:val="44"/>
        </w:rPr>
      </w:pPr>
      <w:r>
        <w:rPr>
          <w:rFonts w:ascii="宋体" w:hAnsi="宋体" w:eastAsia="宋体"/>
          <w:sz w:val="44"/>
        </w:rPr>
        <w:t>《中华人民共和国生物安全法》</w:t>
      </w:r>
      <w:bookmarkStart w:id="0" w:name="_GoBack"/>
      <w:bookmarkEnd w:id="0"/>
    </w:p>
    <w:p>
      <w:pPr>
        <w:jc w:val="center"/>
      </w:pPr>
      <w:r>
        <w:rPr>
          <w:rFonts w:ascii="宋体" w:hAnsi="宋体" w:eastAsia="宋体"/>
          <w:sz w:val="44"/>
        </w:rPr>
        <w:t>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2" w:leftChars="200" w:right="632" w:rightChars="200"/>
        <w:jc w:val="center"/>
        <w:textAlignment w:val="auto"/>
        <w:rPr>
          <w:rFonts w:ascii="楷体_GB2312" w:hAnsi="楷体_GB2312" w:eastAsia="楷体_GB2312"/>
          <w:sz w:val="32"/>
        </w:rPr>
      </w:pPr>
      <w:r>
        <w:rPr>
          <w:rFonts w:ascii="Times New Roman" w:hAnsi="Times New Roman" w:eastAsia="楷体_GB2312"/>
          <w:sz w:val="32"/>
        </w:rPr>
        <w:t>（2024年4月26日第十四届</w:t>
      </w:r>
      <w:r>
        <w:rPr>
          <w:rFonts w:ascii="楷体_GB2312" w:hAnsi="楷体_GB2312" w:eastAsia="楷体_GB2312"/>
          <w:sz w:val="32"/>
        </w:rPr>
        <w:t>全国人民代表大会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2" w:leftChars="200" w:right="632" w:rightChars="200"/>
        <w:jc w:val="center"/>
        <w:textAlignment w:val="auto"/>
      </w:pPr>
      <w:r>
        <w:rPr>
          <w:rFonts w:ascii="楷体_GB2312" w:hAnsi="楷体_GB2312" w:eastAsia="楷体_GB2312"/>
          <w:sz w:val="32"/>
        </w:rPr>
        <w:t>常务委员会第九次会议通过）</w:t>
      </w:r>
    </w:p>
    <w:p>
      <w:pPr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第十四届全国人民代表大会常务委员会第九次会议决定：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一、对《中华人民共和国农业技术推广法》作出修改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（一）将第九条中的“国务院农业、林业、水利等部门”修改为“国务院农业农村、林业草原、水利等部门”，删去其中的“同级人民政府科学技术部门对农业技术推广工作进行指导”。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（二）将第十九条中的“会同科学技术等相关部门”修改为“会同相关部门”。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（三）将第二十三条第二款中的“教育、人力资源和社会保障、农业、林业、水利、科学技术等部门”修改为“教育、人力资源和社会保障、农业农村、林业草原、水利、科学技术等部门”。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二、对《中华人民共和国未成年人保护法》作出修改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将第九条修改为：“各级人民政府应当重视和加强未成年人保护工作。县级以上人民政府负责妇女儿童工作的机构，负责未成年人保护工作的组织、协调、指导、督促，有关部门在各自职责范围内做好相关工作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2"/>
        </w:rPr>
        <w:t>三、对《中华人民共和国生物安全法》作出修改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（一）将第五十四条第二款、第五十六条、第五十七条、第七十九条、第八十条中的“科学技术主管部门”修改为“卫生健康主管部门”。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（二）将第五十四条第三款修改为：“国务院卫生健康、科学技术、自然资源、生态环境、农业农村、林业草原、中医药主管部门根据职责分工，组织开展生物资源调查，制定重要生物资源申报登记办法。”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本决定自公布之日起施行。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</w:pPr>
      <w:r>
        <w:rPr>
          <w:rFonts w:ascii="仿宋_GB2312" w:hAnsi="仿宋_GB2312" w:eastAsia="仿宋_GB2312"/>
          <w:sz w:val="32"/>
        </w:rPr>
        <w:t>《中华人民共和国农业技术推广法》、《中华人民共和国未成年人保护法》、《中华人民共和国生物安全法》根据本决定作相应修改，重新公布。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NiOWM4MTNkMDNkNTZjZDBlZTJkNmRiODUwMzY5ZDk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5EE09DC"/>
    <w:rsid w:val="0D9804AC"/>
    <w:rsid w:val="11E4354D"/>
    <w:rsid w:val="16DC7373"/>
    <w:rsid w:val="2611790D"/>
    <w:rsid w:val="344634A2"/>
    <w:rsid w:val="3DDA770A"/>
    <w:rsid w:val="3DE63740"/>
    <w:rsid w:val="481351D2"/>
    <w:rsid w:val="53543565"/>
    <w:rsid w:val="558A062C"/>
    <w:rsid w:val="622F12CF"/>
    <w:rsid w:val="653E08AD"/>
    <w:rsid w:val="71B9247E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954F72"/>
      <w:u w:val="single"/>
    </w:rPr>
  </w:style>
  <w:style w:type="character" w:styleId="7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页眉 字符"/>
    <w:link w:val="3"/>
    <w:qFormat/>
    <w:uiPriority w:val="99"/>
    <w:rPr>
      <w:sz w:val="18"/>
      <w:szCs w:val="18"/>
    </w:rPr>
  </w:style>
  <w:style w:type="paragraph" w:customStyle="1" w:styleId="10">
    <w:name w:val="PageNumberStyle"/>
    <w:uiPriority w:val="0"/>
    <w:rPr>
      <w:rFonts w:ascii="宋体" w:hAnsi="宋体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王瑞璞</cp:lastModifiedBy>
  <dcterms:modified xsi:type="dcterms:W3CDTF">2024-04-26T11:40:30Z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2052-12.1.0.16729</vt:lpwstr>
  </property>
</Properties>
</file>