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重庆市人民政府办公厅 关于印发重庆市最低生活保障条件认定办法（修订）</w:t>
      </w:r>
    </w:p>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渝府办发〔2017〕33号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24"/>
          <w:szCs w:val="24"/>
          <w:bdr w:val="none" w:color="auto" w:sz="0" w:space="0"/>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《重庆市最低生活保障条件认定办法（修订）》已经市政府同意，现印发给你们，请认真贯彻执行。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930" w:firstLine="630"/>
        <w:jc w:val="right"/>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1260" w:firstLine="63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2017</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bdr w:val="none" w:color="auto" w:sz="0" w:space="0"/>
          <w:shd w:val="clear" w:fill="FFFFFF"/>
        </w:rPr>
        <w:t>重庆市最低生活保障条件认定办法（修订）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1"/>
          <w:szCs w:val="31"/>
          <w:bdr w:val="none" w:color="auto" w:sz="0" w:space="0"/>
          <w:shd w:val="clear" w:fill="FFFFFF"/>
        </w:rPr>
        <w:t>第一章　总</w:t>
      </w: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第一条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为进一步明确最低生活保障条件，公平公正认定保障对象，依据《社会救助暂行办法》《重庆市城乡居民最低生活保障条例》《重庆市人民政府关于贯彻落实国务院〈社会救助暂行办法〉的实施意见》（渝府发〔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2014</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号）和有关法律法规，结合我市实际，制定本办法。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第二条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最低生活保障条件是指城乡居民家庭申请最低生活保障的具体条件，包括家庭成员、家庭收入、家庭财产、家庭消费支出四个方面。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第三条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本办法主要用于认定本市城乡居民家庭是否具备获得最低生活保障的资格条件。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第二章　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第四条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最低生活保障的家庭成员应当是具有本市居民户口且具有法定赡养、扶养、抚养义务关系的共同生活的家庭成员。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第五条</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　共同生活的家庭成员包括：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（二）未成年子女。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（三）已成年但不能独立生活的子女，包括在校接受本科及其以下学历教育的成年子女。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（四）其他具有法定赡养、扶养、抚养义务关系并共同居住</w:t>
      </w: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个月以上的人员。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第六条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特殊情形的共同生活家庭成员认定：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（一）未婚现役军人，脱离家庭独立生活一年以上的宗教教职人员，在监狱内服刑的人员，不计入共同生活的家庭成员。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（二）复员退役军人以及刑满释放、监外执行、保外就医人员回到家庭居住生活的，计入共同生活的家庭成员。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（三）家庭月人均收入在当地最低生活保障标准</w:t>
      </w: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倍以内，已成年且丧失劳动能力的残疾人或者身患重特大疾病长期卧床不起的人员，可以与其共同生活的父母、兄弟姐妹分户计算。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第三章　家庭收入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第七条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家庭收入是指共同生活的家庭成员在规定期限内扣除缴纳的个人所得税、个人按规定缴纳的社会保障性支出、必要的就业成本后的全部可支配收入。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第八条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获得最低生活保障，家庭月人均收入应当低于最低生活保障标准。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家庭月人均收入，按照申请人家庭成员月收入总额除以核定的家庭人口数确定。从事非农业生产的家庭成员月收入，按照提出申请前一个月的收入确定；从事农业生产的家庭成员月收入，按照提出申请前</w:t>
      </w:r>
      <w:r>
        <w:rPr>
          <w:rFonts w:hint="eastAsia" w:ascii="微软雅黑" w:hAnsi="微软雅黑" w:eastAsia="微软雅黑" w:cs="微软雅黑"/>
          <w:i w:val="0"/>
          <w:iCs w:val="0"/>
          <w:caps w:val="0"/>
          <w:color w:val="333333"/>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个月内货币和实物的总收入（扣除直接生产经营成本）除以</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第九条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家庭收入计算项目主要包括：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（一）工资性收入。指因任职或者受雇而取得的工资、薪金、奖金、劳动分红、津贴、补贴以及与任职或者受雇有关的其他所得。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稳定就业或长期在外务工人员的工资性收入，按用人单位劳资部门出具的工资性收入证明计算；不能提供证明或所提供证明低于当地最低工资标准的，按当地最低工资标准计算。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季节性短期务工人员工资性收入，根据当地同行业收入标准，按实际务工月（天）数计算。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工资性收入可适当扣除必要的就业成本，具体扣除比例由区县（自治县）人民政府制定。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种植、养殖、采集及加工等农林牧渔业（规模化种植、养殖除外）收入，可以按照当地统计部门公布的农村常住居民经营净收入中的第一产业指标为核算基数，根据家庭成员劳动力系数指标折算核定。劳动力系数指标由各区县（自治县）根据家庭成员劳动能力状况、丧失劳动能力程度合理确定，并考虑家庭成员间履行赡养、扶养、抚养义务的负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财产性收入。包括动产收入和不动产收入。动产收入是指出让无形资产、特许权等收入，储蓄存款利息、有价证券红利、储蓄性保险投资以及其他股息红利，集体财产收入分红和其他动产收入等；不动产收入是指转租承包土地经营权、出租或者出让房产以及其他不动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财产租赁、转让或变卖收入按租赁、转让或变卖协议（合同、票据）计算；不能提供租赁、转让或变卖协议（合同、票据）或租赁、转让、变卖协议（合同、票据）价格明显偏低的，按当地同类财产的市场租赁、转让或变卖价格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储蓄存款利息、有价证券红利、投资股息红利、集体财产收入分红等按实际收入计算。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土地、林地承包经营权流转收入按有关规定据实计算。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转移性收入。指国家、单位、社会团体对居民家庭的各种转移支付和居民家庭间的收入转移。包括赡养费、扶养费、抚养费，养老金（基础养老金除外）、失业保险金，一次性安置费、经济补偿金、生活补助费，遗属补助金、商业保险金、赔偿收入，接受遗产收入、接受捐赠（赠予）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赡养、抚养、扶养费，有调解书、判决书或者协议书的，按文书确定的金额认定；无文书确定的，每位被赡养、抚养、扶养人的赡养、抚养、扶养费收入按义务人家庭月人均收入减去最低生活保障标准后余额的</w:t>
      </w:r>
      <w:r>
        <w:rPr>
          <w:rFonts w:hint="eastAsia" w:ascii="微软雅黑" w:hAnsi="微软雅黑" w:eastAsia="微软雅黑" w:cs="微软雅黑"/>
          <w:i w:val="0"/>
          <w:iCs w:val="0"/>
          <w:caps w:val="0"/>
          <w:color w:val="333333"/>
          <w:spacing w:val="0"/>
          <w:sz w:val="24"/>
          <w:szCs w:val="24"/>
          <w:bdr w:val="none" w:color="auto" w:sz="0" w:space="0"/>
          <w:shd w:val="clear" w:fill="FFFFFF"/>
        </w:rPr>
        <w:t>20%</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法定赡养、抚养、扶养义务人有下列情形的，视为暂无赡养、抚养、扶养能力，不计算赡养、抚养、扶养费：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．属特困供养人员；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．家庭中有重特大疾病患者、重度残疾人，造成家庭支出过大，实际生活困难的。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从政府或企事业单位领取的一次性安置费、经济补偿金、生活补助费应扣除以下费用：经参保地社会保险经办机构证实，家庭成员已参加（续）基本养老保险和基本医疗保险的，应扣除参（续）保人员从参（续）保之月至达到法定领取养老保险金年龄期间应缴纳的参保费用（按以个人身份参保当年的缴费标准计算）；家庭实际支付且能提供有效支付证明的重大疾病支出和因灾支出等必要开支费用。因城建、危旧房改造、拆迁、土地征用等领取的一次性相关补偿费，应当扣除自住房屋购建重置费用。扣除后的结余部分按当地最低生活保障标准逐月分摊计算，计完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（五）经区县（自治县）人民政府确定的其他应当计入家庭收入的项目。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第十条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不应当计入家庭收入的项目包括：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（一）优抚对象领取的各类抚恤金、补助费、护理费，义务兵家庭优待金，退役士兵一次性经济补助金，老党员定期补助，高龄老人长寿补助，精简退职职工定期定量救济金。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（二）因公（工）负伤人员的工伤医疗费、护理费、一次性伤残补助金、残疾辅助器具费、因公（工）死亡人员的丧葬费及死亡后的一次性抚恤费。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（三）在校学生获得的奖学金、助学金、生活补助、困难补助、求职补助。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（四）政府及有关单位发给的劳动模范荣誉津贴、见义勇为奖金、独生子女费、计划生育政策奖励扶助金。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五）基本医疗保险报销费用，基础养老金，高龄失能老年人养老服务补贴，贫困残疾人生活补贴，重度残疾人护理补贴，各种教育救助金、住房救助金、就业救助金、救灾救助金、医疗救助资金，政府和社会组织给予的临时性救助款物，节日慰问款物，残疾人机动轮椅车燃油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（六）因重大疾病、重大灾害出卖唯一住房的销售款。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（七）经区县（自治县）人民政府确定的其他不应当计入家庭收入的项目。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第四章　家庭财产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第十一条</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　家庭财产是指共同生活的家庭成员拥有的银行存款、储蓄性保险、有价证券、机动车辆、船舶、工程机械、房屋等全部动产和不动产。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第十二条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家庭财产状况有下列情形之一的，不能获得最低生活保障：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（一）银行存款、有价证券、债券、储蓄性保险的总值超过共同生活的家庭成员人数乘以当地最低生活保障标准的</w:t>
      </w:r>
      <w:r>
        <w:rPr>
          <w:rFonts w:hint="eastAsia" w:ascii="微软雅黑" w:hAnsi="微软雅黑" w:eastAsia="微软雅黑" w:cs="微软雅黑"/>
          <w:i w:val="0"/>
          <w:iCs w:val="0"/>
          <w:caps w:val="0"/>
          <w:color w:val="333333"/>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银行存款、有价证券、债券、储蓄性保险以核查当日的市值和资金账户余额认定。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（二）拥有</w:t>
      </w:r>
      <w:r>
        <w:rPr>
          <w:rFonts w:hint="eastAsia" w:ascii="微软雅黑" w:hAnsi="微软雅黑" w:eastAsia="微软雅黑" w:cs="微软雅黑"/>
          <w:i w:val="0"/>
          <w:iCs w:val="0"/>
          <w:caps w:val="0"/>
          <w:color w:val="333333"/>
          <w:spacing w:val="0"/>
          <w:sz w:val="24"/>
          <w:szCs w:val="24"/>
          <w:bdr w:val="none" w:color="auto" w:sz="0" w:space="0"/>
          <w:shd w:val="clear" w:fill="FFFFFF"/>
        </w:rPr>
        <w:t>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套及以上住房（不含</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C</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D</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级危房），且人均拥有建筑面积超过最低住房保障标准的</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（三）拥有出租或自营的商业门面、店铺。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（四）拥有机动车辆（享受燃油补贴的残疾人机动轮椅车、普通两轮摩托车除外）、船舶、工程机械以及大型农机具。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（五）区县（自治县）人民政府规定的其他情形。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第十三条</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　家庭财产采取实名认定，根据有关部门和管理单位的登记信息和实际拥有情况确认。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第五章　家庭消费支出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家庭消费支出是指共同生活的家庭成员在一定时期内的消费支出情况和实际生活状况。家庭消费支出根据调查核实情况认定。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第十五条</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　家庭消费支出有下列情形之一的，视为生活水平明显高于当地最低生活保障标准，不能获得最低生活保障：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（一）</w:t>
      </w:r>
      <w:r>
        <w:rPr>
          <w:rFonts w:hint="eastAsia" w:ascii="微软雅黑" w:hAnsi="微软雅黑" w:eastAsia="微软雅黑" w:cs="微软雅黑"/>
          <w:i w:val="0"/>
          <w:iCs w:val="0"/>
          <w:caps w:val="0"/>
          <w:color w:val="333333"/>
          <w:spacing w:val="0"/>
          <w:sz w:val="24"/>
          <w:szCs w:val="24"/>
          <w:bdr w:val="none" w:color="auto" w:sz="0" w:space="0"/>
          <w:shd w:val="clear" w:fill="FFFFFF"/>
        </w:rPr>
        <w:t>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年内修建自有住房、按揭或全款购买商品房（不含因灾重建、排危、国家基础设施建设拆迁房屋）或高标准装修现有住房（家庭发生重大变故，造成家庭基本生活困难的除外）。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（二）家庭月水电燃料费、通讯费和物业管理服务费总额占当地最低生活保障标准一定比例以上的。具体比例由各区县（自治县）人民政府确定。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（三）共同生活的家庭成员有自费出国留学、义务教育阶段缴纳超过低保标准</w:t>
      </w:r>
      <w:r>
        <w:rPr>
          <w:rFonts w:hint="eastAsia" w:ascii="微软雅黑" w:hAnsi="微软雅黑" w:eastAsia="微软雅黑" w:cs="微软雅黑"/>
          <w:i w:val="0"/>
          <w:iCs w:val="0"/>
          <w:caps w:val="0"/>
          <w:color w:val="333333"/>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倍（含）以上学费（每人每年）在民办学校读书的。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（四）购买商业保险，每人每年缴纳保险费用在低保标准</w:t>
      </w:r>
      <w:r>
        <w:rPr>
          <w:rFonts w:hint="eastAsia" w:ascii="微软雅黑" w:hAnsi="微软雅黑" w:eastAsia="微软雅黑" w:cs="微软雅黑"/>
          <w:i w:val="0"/>
          <w:iCs w:val="0"/>
          <w:caps w:val="0"/>
          <w:color w:val="333333"/>
          <w:spacing w:val="0"/>
          <w:sz w:val="24"/>
          <w:szCs w:val="24"/>
          <w:bdr w:val="none" w:color="auto" w:sz="0" w:space="0"/>
          <w:shd w:val="clear" w:fill="FFFFFF"/>
        </w:rPr>
        <w:t>12</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倍（含）以上的。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（五）区县（自治县）人民政府规定的其他情形。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申请最低生活保障的家庭，其贫困状况以家庭收入、财产作为主要指标，并适当考虑家庭成员因重度残疾、患重大疾病等增加的长期刚性支出因素综合评估。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各区县（自治县）人民政府可以根据本办法制定具体实施细则。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ascii="微软雅黑" w:hAnsi="微软雅黑" w:eastAsia="微软雅黑" w:cs="微软雅黑"/>
          <w:i w:val="0"/>
          <w:iCs w:val="0"/>
          <w:caps w:val="0"/>
          <w:color w:val="333333"/>
          <w:spacing w:val="0"/>
          <w:sz w:val="24"/>
          <w:szCs w:val="24"/>
          <w:shd w:val="clear" w:fill="FFFFFF"/>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第十八条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本办法自</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2017</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1</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日起施行。《重庆市最低生活保障条件认定办法》（渝府办发〔</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2013</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rPr>
        <w:t>205</w:t>
      </w:r>
      <w:r>
        <w:rPr>
          <w:rFonts w:hint="eastAsia" w:ascii="方正仿宋_GBK" w:hAnsi="方正仿宋_GBK" w:eastAsia="方正仿宋_GBK" w:cs="方正仿宋_GBK"/>
          <w:i w:val="0"/>
          <w:iCs w:val="0"/>
          <w:caps w:val="0"/>
          <w:color w:val="333333"/>
          <w:spacing w:val="0"/>
          <w:sz w:val="24"/>
          <w:szCs w:val="24"/>
          <w:bdr w:val="none" w:color="auto" w:sz="0" w:space="0"/>
          <w:shd w:val="clear" w:fill="FFFFFF"/>
        </w:rPr>
        <w:t>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5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2022-01-06T06:25:44Z</dcterms:created>
  <dc:creator>luxizhe</dc:creator>
  <cp:lastModifiedBy>用心去吟的诗</cp:lastModifiedBy>
  <dcterms:modified xsi:type="dcterms:W3CDTF">2022-01-06T06:26:07Z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AB09A862CE124D8CBB6400545A1F5346</vt:lpwstr>
  </property>
</Properties>
</file>