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B648A">
      <w:pPr>
        <w:adjustRightInd w:val="0"/>
        <w:snapToGrid w:val="0"/>
        <w:spacing w:line="579" w:lineRule="exact"/>
        <w:rPr>
          <w:rFonts w:hint="eastAsia" w:ascii="方正黑体_GBK" w:eastAsia="方正黑体_GBK"/>
          <w:sz w:val="32"/>
          <w:szCs w:val="32"/>
        </w:rPr>
      </w:pPr>
      <w:r>
        <w:rPr>
          <w:rFonts w:hint="eastAsia" w:ascii="方正黑体_GBK" w:eastAsia="方正黑体_GBK"/>
          <w:sz w:val="32"/>
          <w:szCs w:val="32"/>
        </w:rPr>
        <w:t>附件1</w:t>
      </w:r>
    </w:p>
    <w:p w14:paraId="693EEECA">
      <w:pPr>
        <w:overflowPunct w:val="0"/>
        <w:adjustRightInd w:val="0"/>
        <w:snapToGrid w:val="0"/>
        <w:spacing w:line="579" w:lineRule="exact"/>
        <w:jc w:val="center"/>
        <w:rPr>
          <w:rStyle w:val="6"/>
          <w:rFonts w:ascii="Times New Roman" w:hAnsi="Times New Roman" w:eastAsia="方正小标宋_GBK" w:cs="Times New Roman"/>
          <w:b w:val="0"/>
          <w:bCs w:val="0"/>
          <w:color w:val="000000"/>
          <w:sz w:val="44"/>
          <w:szCs w:val="44"/>
          <w:shd w:val="clear" w:color="auto" w:fill="FFFFFF"/>
        </w:rPr>
      </w:pPr>
      <w:r>
        <w:rPr>
          <w:rStyle w:val="6"/>
          <w:rFonts w:ascii="Times New Roman" w:hAnsi="Times New Roman" w:eastAsia="方正小标宋_GBK" w:cs="Times New Roman"/>
          <w:b w:val="0"/>
          <w:bCs w:val="0"/>
          <w:color w:val="000000"/>
          <w:sz w:val="44"/>
          <w:szCs w:val="44"/>
          <w:shd w:val="clear" w:color="auto" w:fill="FFFFFF"/>
        </w:rPr>
        <w:t>202</w:t>
      </w:r>
      <w:r>
        <w:rPr>
          <w:rStyle w:val="6"/>
          <w:rFonts w:hint="eastAsia" w:ascii="Times New Roman" w:hAnsi="Times New Roman" w:eastAsia="方正小标宋_GBK" w:cs="Times New Roman"/>
          <w:b w:val="0"/>
          <w:bCs w:val="0"/>
          <w:color w:val="000000"/>
          <w:sz w:val="44"/>
          <w:szCs w:val="44"/>
          <w:shd w:val="clear" w:color="auto" w:fill="FFFFFF"/>
        </w:rPr>
        <w:t>4</w:t>
      </w:r>
      <w:r>
        <w:rPr>
          <w:rStyle w:val="6"/>
          <w:rFonts w:ascii="Times New Roman" w:hAnsi="Times New Roman" w:eastAsia="方正小标宋_GBK" w:cs="Times New Roman"/>
          <w:b w:val="0"/>
          <w:bCs w:val="0"/>
          <w:color w:val="000000"/>
          <w:sz w:val="44"/>
          <w:szCs w:val="44"/>
          <w:shd w:val="clear" w:color="auto" w:fill="FFFFFF"/>
        </w:rPr>
        <w:t>年支持鲁渝社会组织参与</w:t>
      </w:r>
    </w:p>
    <w:p w14:paraId="2752EF72">
      <w:pPr>
        <w:overflowPunct w:val="0"/>
        <w:adjustRightInd w:val="0"/>
        <w:snapToGrid w:val="0"/>
        <w:spacing w:line="579" w:lineRule="exact"/>
        <w:jc w:val="center"/>
        <w:rPr>
          <w:rStyle w:val="6"/>
          <w:rFonts w:ascii="Times New Roman" w:hAnsi="Times New Roman" w:eastAsia="方正仿宋_GBK" w:cs="Times New Roman"/>
          <w:b w:val="0"/>
          <w:bCs w:val="0"/>
          <w:color w:val="000000"/>
          <w:sz w:val="44"/>
          <w:szCs w:val="44"/>
          <w:shd w:val="clear" w:color="auto" w:fill="FFFFFF"/>
        </w:rPr>
      </w:pPr>
      <w:r>
        <w:rPr>
          <w:rStyle w:val="6"/>
          <w:rFonts w:ascii="Times New Roman" w:hAnsi="Times New Roman" w:eastAsia="方正小标宋_GBK" w:cs="Times New Roman"/>
          <w:b w:val="0"/>
          <w:bCs w:val="0"/>
          <w:color w:val="000000"/>
          <w:sz w:val="44"/>
          <w:szCs w:val="44"/>
          <w:shd w:val="clear" w:color="auto" w:fill="FFFFFF"/>
        </w:rPr>
        <w:t>社会服务项目实施方案</w:t>
      </w:r>
    </w:p>
    <w:p w14:paraId="466930E7">
      <w:pPr>
        <w:pStyle w:val="2"/>
        <w:numPr>
          <w:ilvl w:val="0"/>
          <w:numId w:val="0"/>
        </w:numPr>
        <w:adjustRightInd w:val="0"/>
        <w:snapToGrid w:val="0"/>
        <w:spacing w:line="579" w:lineRule="exact"/>
        <w:ind w:left="426"/>
      </w:pPr>
    </w:p>
    <w:p w14:paraId="426EC581">
      <w:pPr>
        <w:overflowPunct w:val="0"/>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为加强对支持鲁渝社会组织参与社会服务项目（以下简称项目）的管理，确保项目规范实施，制定本实施方案。</w:t>
      </w:r>
    </w:p>
    <w:p w14:paraId="4AB6EE29">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color w:val="000000"/>
          <w:sz w:val="32"/>
          <w:szCs w:val="32"/>
        </w:rPr>
      </w:pPr>
      <w:r>
        <w:rPr>
          <w:rStyle w:val="6"/>
          <w:rFonts w:hint="eastAsia" w:ascii="方正黑体_GBK" w:hAnsi="方正黑体_GBK" w:eastAsia="方正黑体_GBK" w:cs="方正黑体_GBK"/>
          <w:b w:val="0"/>
          <w:bCs w:val="0"/>
          <w:color w:val="000000"/>
          <w:sz w:val="32"/>
          <w:szCs w:val="32"/>
        </w:rPr>
        <w:t>一、资金性质</w:t>
      </w:r>
    </w:p>
    <w:p w14:paraId="2FAF05C3">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项目资金为山东协作重庆省级财政援助资金，专项用于支持鲁渝社会组织参与社会服务。</w:t>
      </w:r>
    </w:p>
    <w:p w14:paraId="79DE7FF4">
      <w:pPr>
        <w:pStyle w:val="3"/>
        <w:widowControl w:val="0"/>
        <w:overflowPunct w:val="0"/>
        <w:adjustRightInd w:val="0"/>
        <w:snapToGrid w:val="0"/>
        <w:spacing w:before="0" w:beforeAutospacing="0" w:after="0" w:afterAutospacing="0" w:line="579" w:lineRule="exact"/>
        <w:ind w:firstLine="640" w:firstLineChars="200"/>
        <w:jc w:val="both"/>
        <w:rPr>
          <w:rStyle w:val="6"/>
          <w:rFonts w:ascii="Times New Roman" w:hAnsi="Times New Roman" w:eastAsia="方正仿宋_GBK" w:cs="Times New Roman"/>
          <w:b w:val="0"/>
          <w:bCs w:val="0"/>
        </w:rPr>
      </w:pPr>
      <w:r>
        <w:rPr>
          <w:rStyle w:val="6"/>
          <w:rFonts w:hint="eastAsia" w:ascii="方正黑体_GBK" w:hAnsi="方正黑体_GBK" w:eastAsia="方正黑体_GBK" w:cs="方正黑体_GBK"/>
          <w:b w:val="0"/>
          <w:bCs w:val="0"/>
          <w:color w:val="000000"/>
          <w:sz w:val="32"/>
          <w:szCs w:val="32"/>
        </w:rPr>
        <w:t>二、项目情况</w:t>
      </w:r>
    </w:p>
    <w:p w14:paraId="3D4825DB">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kern w:val="2"/>
        </w:rPr>
      </w:pPr>
      <w:r>
        <w:rPr>
          <w:rFonts w:ascii="Times New Roman" w:hAnsi="Times New Roman" w:eastAsia="方正仿宋_GBK" w:cs="Times New Roman"/>
          <w:color w:val="000000"/>
          <w:sz w:val="32"/>
          <w:szCs w:val="32"/>
        </w:rPr>
        <w:t>主要</w:t>
      </w:r>
      <w:r>
        <w:rPr>
          <w:rFonts w:ascii="Times New Roman" w:hAnsi="Times New Roman" w:eastAsia="方正仿宋_GBK" w:cs="Times New Roman"/>
          <w:color w:val="000000"/>
          <w:kern w:val="2"/>
          <w:sz w:val="32"/>
          <w:szCs w:val="32"/>
        </w:rPr>
        <w:t>对低收入贫困家庭、老年人、残疾人、贫困儿童等特殊群体，开展就业创业、生活救助、养老服务、生活照料、精神慰藉、康复护理、医疗保健、社区治理及改善生产、生活条件等方面的服务。</w:t>
      </w:r>
    </w:p>
    <w:p w14:paraId="75A56078">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共4个项目，总额100万元。分别</w:t>
      </w:r>
      <w:r>
        <w:rPr>
          <w:rFonts w:ascii="Times New Roman" w:hAnsi="Times New Roman" w:eastAsia="方正仿宋_GBK" w:cs="Times New Roman"/>
          <w:color w:val="000000"/>
          <w:sz w:val="32"/>
          <w:szCs w:val="32"/>
        </w:rPr>
        <w:t>在城口县、酉阳土家族苗族自治县、彭水苗族土家族自治县、巫溪县等4个国家乡村振兴重点帮扶县</w:t>
      </w:r>
      <w:r>
        <w:rPr>
          <w:rFonts w:ascii="Times New Roman" w:hAnsi="Times New Roman" w:eastAsia="方正仿宋_GBK" w:cs="Times New Roman"/>
          <w:color w:val="000000"/>
          <w:kern w:val="2"/>
          <w:sz w:val="32"/>
          <w:szCs w:val="32"/>
        </w:rPr>
        <w:t>，各实施1个项目，其中</w:t>
      </w:r>
      <w:r>
        <w:rPr>
          <w:rFonts w:ascii="Times New Roman" w:hAnsi="Times New Roman" w:eastAsia="方正仿宋_GBK" w:cs="Times New Roman"/>
          <w:color w:val="000000"/>
          <w:sz w:val="32"/>
          <w:szCs w:val="32"/>
        </w:rPr>
        <w:t>城口县、酉阳县、彭水县</w:t>
      </w:r>
      <w:r>
        <w:rPr>
          <w:rFonts w:ascii="Times New Roman" w:hAnsi="Times New Roman" w:eastAsia="方正仿宋_GBK" w:cs="Times New Roman"/>
          <w:color w:val="000000"/>
          <w:kern w:val="2"/>
          <w:sz w:val="32"/>
          <w:szCs w:val="32"/>
        </w:rPr>
        <w:t>每县各1个项目，每个项目资金20万元，</w:t>
      </w:r>
      <w:r>
        <w:rPr>
          <w:rFonts w:ascii="Times New Roman" w:hAnsi="Times New Roman" w:eastAsia="方正仿宋_GBK" w:cs="Times New Roman"/>
          <w:color w:val="000000"/>
          <w:sz w:val="32"/>
          <w:szCs w:val="32"/>
        </w:rPr>
        <w:t>巫溪县（宁厂镇、古路镇、通城镇、大河乡）1</w:t>
      </w:r>
      <w:r>
        <w:rPr>
          <w:rFonts w:ascii="Times New Roman" w:hAnsi="Times New Roman" w:eastAsia="方正仿宋_GBK" w:cs="Times New Roman"/>
          <w:color w:val="000000"/>
          <w:kern w:val="2"/>
          <w:sz w:val="32"/>
          <w:szCs w:val="32"/>
        </w:rPr>
        <w:t>个项目40万元。由</w:t>
      </w:r>
      <w:r>
        <w:rPr>
          <w:rFonts w:hint="eastAsia" w:ascii="Times New Roman" w:hAnsi="Times New Roman" w:eastAsia="方正仿宋_GBK" w:cs="Times New Roman"/>
          <w:color w:val="000000"/>
          <w:kern w:val="2"/>
          <w:sz w:val="32"/>
          <w:szCs w:val="32"/>
        </w:rPr>
        <w:t>市内</w:t>
      </w:r>
      <w:r>
        <w:rPr>
          <w:rFonts w:ascii="Times New Roman" w:hAnsi="Times New Roman" w:eastAsia="方正仿宋_GBK" w:cs="Times New Roman"/>
          <w:color w:val="000000"/>
          <w:kern w:val="2"/>
          <w:sz w:val="32"/>
          <w:szCs w:val="32"/>
        </w:rPr>
        <w:t>社会组织申报实施。</w:t>
      </w:r>
    </w:p>
    <w:p w14:paraId="6C47C658">
      <w:pPr>
        <w:pStyle w:val="3"/>
        <w:widowControl w:val="0"/>
        <w:overflowPunct w:val="0"/>
        <w:adjustRightInd w:val="0"/>
        <w:snapToGrid w:val="0"/>
        <w:spacing w:before="0" w:beforeAutospacing="0" w:after="0" w:afterAutospacing="0" w:line="579" w:lineRule="exact"/>
        <w:ind w:firstLine="640" w:firstLineChars="200"/>
        <w:jc w:val="both"/>
        <w:rPr>
          <w:rStyle w:val="6"/>
          <w:rFonts w:ascii="Times New Roman" w:hAnsi="Times New Roman" w:eastAsia="方正仿宋_GBK" w:cs="Times New Roman"/>
          <w:b w:val="0"/>
          <w:bCs w:val="0"/>
        </w:rPr>
      </w:pPr>
      <w:r>
        <w:rPr>
          <w:rStyle w:val="6"/>
          <w:rFonts w:hint="eastAsia" w:ascii="方正黑体_GBK" w:hAnsi="方正黑体_GBK" w:eastAsia="方正黑体_GBK" w:cs="方正黑体_GBK"/>
          <w:b w:val="0"/>
          <w:bCs w:val="0"/>
          <w:color w:val="000000"/>
          <w:sz w:val="32"/>
          <w:szCs w:val="32"/>
        </w:rPr>
        <w:t>三、申报条件</w:t>
      </w:r>
    </w:p>
    <w:p w14:paraId="368CBC63">
      <w:pPr>
        <w:overflowPunct w:val="0"/>
        <w:adjustRightInd w:val="0"/>
        <w:snapToGrid w:val="0"/>
        <w:spacing w:line="579" w:lineRule="exact"/>
        <w:ind w:firstLine="640" w:firstLineChars="200"/>
        <w:rPr>
          <w:rFonts w:eastAsia="方正仿宋_GBK"/>
        </w:rPr>
      </w:pPr>
      <w:r>
        <w:rPr>
          <w:rFonts w:eastAsia="方正仿宋_GBK"/>
          <w:color w:val="000000"/>
          <w:sz w:val="32"/>
          <w:szCs w:val="32"/>
        </w:rPr>
        <w:t>申报项目的社会组织应当具备下列资格条件：</w:t>
      </w:r>
    </w:p>
    <w:p w14:paraId="73124F5C">
      <w:pPr>
        <w:overflowPunct w:val="0"/>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（一）符合建立党组织条件的建立党组织，并将党的建设和社会主义核心价值观载入社会组织章程；</w:t>
      </w:r>
    </w:p>
    <w:p w14:paraId="3C4C3B65">
      <w:pPr>
        <w:overflowPunct w:val="0"/>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（二）在民政部门登记成立，近三年年检合格</w:t>
      </w:r>
      <w:r>
        <w:rPr>
          <w:rFonts w:hint="eastAsia" w:eastAsia="方正仿宋_GBK"/>
          <w:color w:val="000000"/>
          <w:sz w:val="32"/>
          <w:szCs w:val="32"/>
        </w:rPr>
        <w:t>（慈善组织未被登记机关列入活动异常名录）</w:t>
      </w:r>
      <w:r>
        <w:rPr>
          <w:rFonts w:eastAsia="方正仿宋_GBK"/>
          <w:color w:val="000000"/>
          <w:sz w:val="32"/>
          <w:szCs w:val="32"/>
        </w:rPr>
        <w:t>；</w:t>
      </w:r>
    </w:p>
    <w:p w14:paraId="5B5E9B13">
      <w:pPr>
        <w:overflowPunct w:val="0"/>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（三）有开展社会服务的能力和条件，且已具备实施社会服务项目的经验，具有良好信誉；</w:t>
      </w:r>
    </w:p>
    <w:p w14:paraId="40C957A2">
      <w:pPr>
        <w:overflowPunct w:val="0"/>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（四）有完善的组织机构，有健全的财务制度和独立的银行账号；</w:t>
      </w:r>
    </w:p>
    <w:p w14:paraId="58F740B3">
      <w:pPr>
        <w:overflowPunct w:val="0"/>
        <w:adjustRightInd w:val="0"/>
        <w:snapToGrid w:val="0"/>
        <w:spacing w:line="579" w:lineRule="exact"/>
        <w:ind w:firstLine="640" w:firstLineChars="200"/>
        <w:rPr>
          <w:rFonts w:hint="eastAsia" w:eastAsia="方正仿宋_GBK"/>
          <w:color w:val="000000"/>
          <w:sz w:val="32"/>
          <w:szCs w:val="32"/>
        </w:rPr>
      </w:pPr>
      <w:r>
        <w:rPr>
          <w:rFonts w:eastAsia="方正仿宋_GBK"/>
          <w:color w:val="000000"/>
          <w:sz w:val="32"/>
          <w:szCs w:val="32"/>
        </w:rPr>
        <w:t>（五）有健全的工作队伍和较好的执行能力；</w:t>
      </w:r>
    </w:p>
    <w:p w14:paraId="0FF6266D">
      <w:pPr>
        <w:overflowPunct w:val="0"/>
        <w:adjustRightInd w:val="0"/>
        <w:snapToGrid w:val="0"/>
        <w:spacing w:line="579" w:lineRule="exact"/>
        <w:ind w:firstLine="640" w:firstLineChars="200"/>
        <w:rPr>
          <w:rFonts w:hint="eastAsia" w:eastAsia="方正仿宋_GBK"/>
          <w:color w:val="000000"/>
          <w:sz w:val="32"/>
          <w:szCs w:val="32"/>
        </w:rPr>
      </w:pPr>
      <w:r>
        <w:rPr>
          <w:rFonts w:eastAsia="方正仿宋_GBK"/>
          <w:color w:val="000000"/>
          <w:sz w:val="32"/>
          <w:szCs w:val="32"/>
        </w:rPr>
        <w:t>（六）申报项目与自身业务范围及宗旨紧密相关，熟悉项目实施地帮扶对象总体情况；</w:t>
      </w:r>
    </w:p>
    <w:p w14:paraId="0C99C698">
      <w:pPr>
        <w:overflowPunct w:val="0"/>
        <w:adjustRightInd w:val="0"/>
        <w:snapToGrid w:val="0"/>
        <w:spacing w:line="579" w:lineRule="exact"/>
        <w:ind w:firstLine="640" w:firstLineChars="200"/>
        <w:rPr>
          <w:rFonts w:hint="eastAsia" w:eastAsia="方正仿宋_GBK"/>
          <w:color w:val="000000"/>
          <w:sz w:val="32"/>
          <w:szCs w:val="32"/>
        </w:rPr>
      </w:pPr>
      <w:r>
        <w:rPr>
          <w:rFonts w:eastAsia="方正仿宋_GBK"/>
          <w:color w:val="000000"/>
          <w:sz w:val="32"/>
          <w:szCs w:val="32"/>
        </w:rPr>
        <w:t>（七）同等条件下，有3A以上评估等级的社会组织优先</w:t>
      </w:r>
      <w:r>
        <w:rPr>
          <w:rFonts w:hint="eastAsia" w:eastAsia="方正仿宋_GBK"/>
          <w:color w:val="000000"/>
          <w:sz w:val="32"/>
          <w:szCs w:val="32"/>
        </w:rPr>
        <w:t>。</w:t>
      </w:r>
    </w:p>
    <w:p w14:paraId="1A74BE17">
      <w:pPr>
        <w:overflowPunct w:val="0"/>
        <w:adjustRightInd w:val="0"/>
        <w:snapToGrid w:val="0"/>
        <w:spacing w:line="579" w:lineRule="exact"/>
        <w:ind w:firstLine="640" w:firstLineChars="200"/>
        <w:rPr>
          <w:rStyle w:val="6"/>
          <w:rFonts w:hint="eastAsia" w:ascii="Times New Roman" w:hAnsi="Times New Roman" w:eastAsia="方正仿宋_GBK" w:cs="Times New Roman"/>
          <w:b w:val="0"/>
          <w:bCs w:val="0"/>
          <w:color w:val="000000"/>
          <w:sz w:val="32"/>
          <w:szCs w:val="32"/>
        </w:rPr>
      </w:pPr>
      <w:r>
        <w:rPr>
          <w:rStyle w:val="6"/>
          <w:rFonts w:hint="eastAsia" w:ascii="方正黑体_GBK" w:hAnsi="方正黑体_GBK" w:eastAsia="方正黑体_GBK" w:cs="方正黑体_GBK"/>
          <w:b w:val="0"/>
          <w:bCs w:val="0"/>
          <w:color w:val="000000"/>
          <w:kern w:val="0"/>
          <w:sz w:val="32"/>
          <w:szCs w:val="32"/>
        </w:rPr>
        <w:t>四、申报程序</w:t>
      </w:r>
    </w:p>
    <w:p w14:paraId="3555F9AF">
      <w:pPr>
        <w:overflowPunct w:val="0"/>
        <w:adjustRightInd w:val="0"/>
        <w:snapToGrid w:val="0"/>
        <w:spacing w:line="579" w:lineRule="exact"/>
        <w:ind w:firstLine="640" w:firstLineChars="200"/>
        <w:rPr>
          <w:rFonts w:hint="eastAsia" w:eastAsia="方正仿宋_GBK"/>
          <w:color w:val="000000"/>
          <w:sz w:val="32"/>
          <w:szCs w:val="32"/>
        </w:rPr>
      </w:pPr>
      <w:r>
        <w:rPr>
          <w:rFonts w:eastAsia="方正仿宋_GBK"/>
          <w:color w:val="000000"/>
          <w:sz w:val="32"/>
          <w:szCs w:val="32"/>
        </w:rPr>
        <w:t>为方便社会组织，简化申报手续，项目申报分为两个阶段：</w:t>
      </w:r>
    </w:p>
    <w:p w14:paraId="1C0A9DF9">
      <w:pPr>
        <w:overflowPunct w:val="0"/>
        <w:adjustRightInd w:val="0"/>
        <w:snapToGrid w:val="0"/>
        <w:spacing w:line="579" w:lineRule="exact"/>
        <w:ind w:firstLine="640" w:firstLineChars="200"/>
        <w:rPr>
          <w:rFonts w:hint="eastAsia" w:eastAsia="方正仿宋_GBK"/>
          <w:color w:val="000000"/>
          <w:sz w:val="32"/>
          <w:szCs w:val="32"/>
        </w:rPr>
      </w:pPr>
      <w:r>
        <w:rPr>
          <w:rFonts w:eastAsia="方正仿宋_GBK"/>
          <w:color w:val="000000"/>
          <w:sz w:val="32"/>
          <w:szCs w:val="32"/>
        </w:rPr>
        <w:t>（一）电子材料评审。所有项目申报单位需按照要求报送项目申报电子材料，申报材料包含但不限于：项目申报书</w:t>
      </w:r>
      <w:r>
        <w:rPr>
          <w:rFonts w:hint="eastAsia" w:eastAsia="方正仿宋_GBK"/>
          <w:color w:val="000000"/>
          <w:sz w:val="32"/>
          <w:szCs w:val="32"/>
        </w:rPr>
        <w:t>（word文档和盖章扫描件）</w:t>
      </w:r>
      <w:r>
        <w:rPr>
          <w:rFonts w:eastAsia="方正仿宋_GBK"/>
          <w:color w:val="000000"/>
          <w:sz w:val="32"/>
          <w:szCs w:val="32"/>
        </w:rPr>
        <w:t>、年检结论</w:t>
      </w:r>
      <w:r>
        <w:rPr>
          <w:rFonts w:hint="eastAsia" w:eastAsia="方正仿宋_GBK"/>
          <w:color w:val="000000"/>
          <w:sz w:val="32"/>
          <w:szCs w:val="32"/>
        </w:rPr>
        <w:t>（盖有年检结论的登记证书副本）</w:t>
      </w:r>
      <w:r>
        <w:rPr>
          <w:rFonts w:eastAsia="方正仿宋_GBK"/>
          <w:color w:val="000000"/>
          <w:sz w:val="32"/>
          <w:szCs w:val="32"/>
        </w:rPr>
        <w:t>、荣誉证书、评估等级等相关证明材料</w:t>
      </w:r>
      <w:r>
        <w:rPr>
          <w:rFonts w:hint="eastAsia" w:eastAsia="方正仿宋_GBK"/>
          <w:color w:val="000000"/>
          <w:sz w:val="32"/>
          <w:szCs w:val="32"/>
        </w:rPr>
        <w:t>（邮件名称格式为：社会组织名称+2024年支持鲁渝社会组织参与社会服务项目申报）</w:t>
      </w:r>
      <w:r>
        <w:rPr>
          <w:rFonts w:eastAsia="方正仿宋_GBK"/>
          <w:color w:val="000000"/>
          <w:sz w:val="32"/>
          <w:szCs w:val="32"/>
        </w:rPr>
        <w:t>。</w:t>
      </w:r>
    </w:p>
    <w:p w14:paraId="43ED07DD">
      <w:pPr>
        <w:overflowPunct w:val="0"/>
        <w:adjustRightInd w:val="0"/>
        <w:snapToGrid w:val="0"/>
        <w:spacing w:line="579" w:lineRule="exact"/>
        <w:ind w:firstLine="640" w:firstLineChars="200"/>
        <w:rPr>
          <w:rFonts w:hint="eastAsia" w:eastAsia="方正仿宋_GBK"/>
          <w:color w:val="000000"/>
          <w:sz w:val="32"/>
          <w:szCs w:val="32"/>
        </w:rPr>
      </w:pPr>
      <w:r>
        <w:rPr>
          <w:rFonts w:eastAsia="方正仿宋_GBK"/>
          <w:color w:val="000000"/>
          <w:sz w:val="32"/>
          <w:szCs w:val="32"/>
        </w:rPr>
        <w:t>（二）项目立项。评审获得通过的单位经公示后于公告发布之日起</w:t>
      </w:r>
      <w:r>
        <w:rPr>
          <w:rFonts w:hint="eastAsia" w:eastAsia="方正仿宋_GBK"/>
          <w:color w:val="000000"/>
          <w:sz w:val="32"/>
          <w:szCs w:val="32"/>
        </w:rPr>
        <w:t>5</w:t>
      </w:r>
      <w:r>
        <w:rPr>
          <w:rFonts w:eastAsia="方正仿宋_GBK"/>
          <w:color w:val="000000"/>
          <w:sz w:val="32"/>
          <w:szCs w:val="32"/>
        </w:rPr>
        <w:t>个工作日内，按要求提交项目立项申报书纸质材料以及年检结论、荣誉证书、评估等级等相关证明材料，进行正式立项。未按期报送或纸质申报书与电子申报书内容不符的，将取消该社会组织立项。</w:t>
      </w:r>
    </w:p>
    <w:p w14:paraId="635F5517">
      <w:pPr>
        <w:overflowPunct w:val="0"/>
        <w:adjustRightInd w:val="0"/>
        <w:snapToGrid w:val="0"/>
        <w:spacing w:line="579" w:lineRule="exact"/>
        <w:ind w:firstLine="640" w:firstLineChars="200"/>
        <w:rPr>
          <w:rFonts w:hint="eastAsia" w:eastAsia="方正仿宋_GBK"/>
          <w:color w:val="000000"/>
          <w:sz w:val="32"/>
          <w:szCs w:val="32"/>
        </w:rPr>
      </w:pPr>
      <w:r>
        <w:rPr>
          <w:rFonts w:hint="eastAsia" w:ascii="方正黑体_GBK" w:hAnsi="方正黑体_GBK" w:eastAsia="方正黑体_GBK" w:cs="方正黑体_GBK"/>
          <w:color w:val="000000"/>
          <w:sz w:val="32"/>
          <w:szCs w:val="32"/>
        </w:rPr>
        <w:t>五、评审立项</w:t>
      </w:r>
    </w:p>
    <w:p w14:paraId="7B656FA8">
      <w:pPr>
        <w:overflowPunct w:val="0"/>
        <w:adjustRightInd w:val="0"/>
        <w:snapToGrid w:val="0"/>
        <w:spacing w:line="579" w:lineRule="exact"/>
        <w:ind w:firstLine="640" w:firstLineChars="200"/>
        <w:rPr>
          <w:rFonts w:hint="eastAsia" w:eastAsia="方正仿宋_GBK"/>
          <w:color w:val="000000"/>
          <w:sz w:val="32"/>
          <w:szCs w:val="32"/>
        </w:rPr>
      </w:pPr>
      <w:r>
        <w:rPr>
          <w:rFonts w:eastAsia="方正仿宋_GBK"/>
          <w:color w:val="000000"/>
          <w:sz w:val="32"/>
          <w:szCs w:val="32"/>
        </w:rPr>
        <w:t>局社会组织管理局、局规划财务处</w:t>
      </w:r>
      <w:r>
        <w:rPr>
          <w:rFonts w:hint="eastAsia" w:eastAsia="方正仿宋_GBK"/>
          <w:color w:val="000000"/>
          <w:sz w:val="32"/>
          <w:szCs w:val="32"/>
        </w:rPr>
        <w:t>等有关处室</w:t>
      </w:r>
      <w:r>
        <w:rPr>
          <w:rFonts w:eastAsia="方正仿宋_GBK"/>
          <w:color w:val="000000"/>
          <w:sz w:val="32"/>
          <w:szCs w:val="32"/>
        </w:rPr>
        <w:t>抽调人员</w:t>
      </w:r>
      <w:r>
        <w:rPr>
          <w:rFonts w:eastAsia="方正仿宋_GBK"/>
          <w:sz w:val="32"/>
          <w:szCs w:val="32"/>
        </w:rPr>
        <w:t>组成评审组</w:t>
      </w:r>
      <w:r>
        <w:rPr>
          <w:rFonts w:eastAsia="方正仿宋_GBK"/>
          <w:color w:val="000000"/>
          <w:sz w:val="32"/>
          <w:szCs w:val="32"/>
        </w:rPr>
        <w:t>，负责项目评审立项、公示、指导和管理。</w:t>
      </w:r>
    </w:p>
    <w:p w14:paraId="52D103A6">
      <w:pPr>
        <w:overflowPunct w:val="0"/>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（一）初审：对提交的电子申报书进行初审，主要审查填报初审表格完整性、项目是否符合资助类型、申报条件是否具备等基本要素。</w:t>
      </w:r>
    </w:p>
    <w:p w14:paraId="26130DEF">
      <w:pPr>
        <w:overflowPunct w:val="0"/>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（二）评审：1.申报单位的资质，包括其年检结果、评估等级、社会声誉、工作队伍、执行能力和相关经验；2.申报项目的主要内容、实施地域、受益对象、进度安排、预算编列、解决问题和预期社会效益等。</w:t>
      </w:r>
    </w:p>
    <w:p w14:paraId="4579DBD4">
      <w:pPr>
        <w:overflowPunct w:val="0"/>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（三）公示：获得评审通过的项目，向社会公示，公示期为7天。</w:t>
      </w:r>
    </w:p>
    <w:p w14:paraId="62705440">
      <w:pPr>
        <w:overflowPunct w:val="0"/>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（四）立项：公示后无异议，通知并公告立项，项目即进入执行和实施进程（若公示期间，收到申报单位不宜实施项目的举报信息，项目办视情取消申报资格，并在项目库中选取相应项目进行补充）。</w:t>
      </w:r>
    </w:p>
    <w:p w14:paraId="25FE4353">
      <w:pPr>
        <w:overflowPunct w:val="0"/>
        <w:adjustRightInd w:val="0"/>
        <w:snapToGrid w:val="0"/>
        <w:spacing w:line="579" w:lineRule="exact"/>
        <w:ind w:firstLine="640" w:firstLineChars="200"/>
        <w:rPr>
          <w:rFonts w:eastAsia="方正仿宋_GBK"/>
          <w:color w:val="000000"/>
          <w:sz w:val="32"/>
          <w:szCs w:val="32"/>
        </w:rPr>
      </w:pPr>
      <w:r>
        <w:rPr>
          <w:rFonts w:hint="eastAsia" w:ascii="方正黑体_GBK" w:hAnsi="方正黑体_GBK" w:eastAsia="方正黑体_GBK" w:cs="方正黑体_GBK"/>
          <w:color w:val="000000"/>
          <w:sz w:val="32"/>
          <w:szCs w:val="32"/>
        </w:rPr>
        <w:t>六、执行要求</w:t>
      </w:r>
    </w:p>
    <w:p w14:paraId="70E1AB43">
      <w:pPr>
        <w:overflowPunct w:val="0"/>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项目执行单位要遵守相关承诺，履行约定义务，按期完成项目。项目一经立项，不得分包、转包，不得随意调整。项目在执行过程中由于特殊原因需要调整、变更、撤销、终止的，须报经社会组织管理局批准。</w:t>
      </w:r>
    </w:p>
    <w:p w14:paraId="79B4D681">
      <w:pPr>
        <w:overflowPunct w:val="0"/>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项目执行单位社会服务支出均须履行《受益对象确认书》确认程序。除不可抗力因素外，项目执行应当于202</w:t>
      </w:r>
      <w:r>
        <w:rPr>
          <w:rFonts w:hint="eastAsia" w:eastAsia="方正仿宋_GBK"/>
          <w:color w:val="000000"/>
          <w:sz w:val="32"/>
          <w:szCs w:val="32"/>
        </w:rPr>
        <w:t>4</w:t>
      </w:r>
      <w:r>
        <w:rPr>
          <w:rFonts w:eastAsia="方正仿宋_GBK"/>
          <w:color w:val="000000"/>
          <w:sz w:val="32"/>
          <w:szCs w:val="32"/>
        </w:rPr>
        <w:t>年</w:t>
      </w:r>
      <w:r>
        <w:rPr>
          <w:rFonts w:hint="eastAsia" w:eastAsia="方正仿宋_GBK"/>
          <w:color w:val="000000"/>
          <w:sz w:val="32"/>
          <w:szCs w:val="32"/>
        </w:rPr>
        <w:t>8</w:t>
      </w:r>
      <w:r>
        <w:rPr>
          <w:rFonts w:eastAsia="方正仿宋_GBK"/>
          <w:color w:val="000000"/>
          <w:sz w:val="32"/>
          <w:szCs w:val="32"/>
        </w:rPr>
        <w:t>月31日前，完成项目实施进度的50%以上，并向项目办公室报送</w:t>
      </w:r>
      <w:r>
        <w:rPr>
          <w:rFonts w:hint="eastAsia" w:eastAsia="方正仿宋_GBK"/>
          <w:color w:val="000000"/>
          <w:sz w:val="32"/>
          <w:szCs w:val="32"/>
        </w:rPr>
        <w:t>经项目实施地民政局审核盖章的</w:t>
      </w:r>
      <w:r>
        <w:rPr>
          <w:rFonts w:eastAsia="方正仿宋_GBK"/>
          <w:color w:val="000000"/>
          <w:sz w:val="32"/>
          <w:szCs w:val="32"/>
        </w:rPr>
        <w:t>中期报告；应当于202</w:t>
      </w:r>
      <w:r>
        <w:rPr>
          <w:rFonts w:hint="eastAsia" w:eastAsia="方正仿宋_GBK"/>
          <w:color w:val="000000"/>
          <w:sz w:val="32"/>
          <w:szCs w:val="32"/>
        </w:rPr>
        <w:t>4</w:t>
      </w:r>
      <w:r>
        <w:rPr>
          <w:rFonts w:eastAsia="方正仿宋_GBK"/>
          <w:color w:val="000000"/>
          <w:sz w:val="32"/>
          <w:szCs w:val="32"/>
        </w:rPr>
        <w:t>年</w:t>
      </w:r>
      <w:r>
        <w:rPr>
          <w:rFonts w:hint="eastAsia" w:eastAsia="方正仿宋_GBK"/>
          <w:color w:val="000000"/>
          <w:sz w:val="32"/>
          <w:szCs w:val="32"/>
        </w:rPr>
        <w:t>10</w:t>
      </w:r>
      <w:r>
        <w:rPr>
          <w:rFonts w:eastAsia="方正仿宋_GBK"/>
          <w:color w:val="000000"/>
          <w:sz w:val="32"/>
          <w:szCs w:val="32"/>
        </w:rPr>
        <w:t>月30日前全面完成项目</w:t>
      </w:r>
      <w:r>
        <w:rPr>
          <w:rFonts w:hint="eastAsia" w:eastAsia="方正仿宋_GBK"/>
          <w:color w:val="000000"/>
          <w:sz w:val="32"/>
          <w:szCs w:val="32"/>
        </w:rPr>
        <w:t>，</w:t>
      </w:r>
      <w:r>
        <w:rPr>
          <w:rFonts w:eastAsia="方正仿宋_GBK"/>
          <w:color w:val="000000"/>
          <w:sz w:val="32"/>
          <w:szCs w:val="32"/>
        </w:rPr>
        <w:t>并向</w:t>
      </w:r>
      <w:r>
        <w:rPr>
          <w:rFonts w:hint="eastAsia" w:eastAsia="方正仿宋_GBK"/>
          <w:color w:val="000000"/>
          <w:sz w:val="32"/>
          <w:szCs w:val="32"/>
        </w:rPr>
        <w:t>社会组织管理局</w:t>
      </w:r>
      <w:r>
        <w:rPr>
          <w:rFonts w:eastAsia="方正仿宋_GBK"/>
          <w:color w:val="000000"/>
          <w:sz w:val="32"/>
          <w:szCs w:val="32"/>
        </w:rPr>
        <w:t>报送完成报告</w:t>
      </w:r>
      <w:r>
        <w:rPr>
          <w:rFonts w:hint="eastAsia" w:eastAsia="方正仿宋_GBK"/>
          <w:color w:val="000000"/>
          <w:sz w:val="32"/>
          <w:szCs w:val="32"/>
        </w:rPr>
        <w:t>（项目实施地民政局审核盖章）及</w:t>
      </w:r>
      <w:r>
        <w:rPr>
          <w:rFonts w:hint="eastAsia" w:eastAsia="方正仿宋_GBK"/>
          <w:color w:val="000000"/>
          <w:sz w:val="32"/>
          <w:szCs w:val="32"/>
          <w:lang w:eastAsia="zh-CN"/>
        </w:rPr>
        <w:t>会计师事务所</w:t>
      </w:r>
      <w:r>
        <w:rPr>
          <w:rFonts w:hint="eastAsia" w:eastAsia="方正仿宋_GBK"/>
          <w:color w:val="000000"/>
          <w:sz w:val="32"/>
          <w:szCs w:val="32"/>
        </w:rPr>
        <w:t>出具的财务审计报告</w:t>
      </w:r>
      <w:r>
        <w:rPr>
          <w:rFonts w:eastAsia="方正仿宋_GBK"/>
          <w:color w:val="000000"/>
          <w:sz w:val="32"/>
          <w:szCs w:val="32"/>
        </w:rPr>
        <w:t>（内容包括：项目执行情况、实施效果、自我评估报告等）。</w:t>
      </w:r>
    </w:p>
    <w:p w14:paraId="56B34057">
      <w:pPr>
        <w:overflowPunct w:val="0"/>
        <w:adjustRightInd w:val="0"/>
        <w:snapToGrid w:val="0"/>
        <w:spacing w:line="579" w:lineRule="exact"/>
        <w:ind w:firstLine="640" w:firstLineChars="200"/>
        <w:rPr>
          <w:rFonts w:eastAsia="方正仿宋_GBK"/>
          <w:color w:val="000000"/>
          <w:sz w:val="32"/>
          <w:szCs w:val="32"/>
        </w:rPr>
      </w:pPr>
      <w:r>
        <w:rPr>
          <w:rFonts w:hint="eastAsia" w:ascii="方正黑体_GBK" w:hAnsi="方正黑体_GBK" w:eastAsia="方正黑体_GBK" w:cs="方正黑体_GBK"/>
          <w:color w:val="000000"/>
          <w:sz w:val="32"/>
          <w:szCs w:val="32"/>
        </w:rPr>
        <w:t>七、资金管理</w:t>
      </w:r>
    </w:p>
    <w:p w14:paraId="6A2AF780">
      <w:pPr>
        <w:overflowPunct w:val="0"/>
        <w:adjustRightInd w:val="0"/>
        <w:snapToGrid w:val="0"/>
        <w:spacing w:line="579" w:lineRule="exact"/>
        <w:ind w:firstLine="640" w:firstLineChars="200"/>
        <w:rPr>
          <w:rFonts w:eastAsia="方正仿宋_GBK"/>
          <w:color w:val="000000"/>
          <w:sz w:val="32"/>
          <w:szCs w:val="32"/>
          <w:shd w:val="clear" w:color="auto" w:fill="FFFFFF"/>
        </w:rPr>
      </w:pPr>
      <w:r>
        <w:rPr>
          <w:rFonts w:eastAsia="方正仿宋_GBK"/>
          <w:color w:val="000000"/>
          <w:sz w:val="32"/>
          <w:szCs w:val="32"/>
          <w:shd w:val="clear" w:color="auto" w:fill="FFFFFF"/>
        </w:rPr>
        <w:t>项目正式立项之日起20个工作日内，按程序拨付资金。项目资金分两次拨付，第一次拨付70%，项目中期报告获得通过后，拨付剩余的30%。</w:t>
      </w:r>
    </w:p>
    <w:p w14:paraId="571C96B6">
      <w:pPr>
        <w:overflowPunct w:val="0"/>
        <w:adjustRightInd w:val="0"/>
        <w:snapToGrid w:val="0"/>
        <w:spacing w:line="579" w:lineRule="exact"/>
        <w:ind w:firstLine="640" w:firstLineChars="200"/>
        <w:rPr>
          <w:rFonts w:eastAsia="方正仿宋_GBK"/>
          <w:color w:val="000000"/>
          <w:sz w:val="32"/>
          <w:szCs w:val="32"/>
          <w:shd w:val="clear" w:color="auto" w:fill="FFFFFF"/>
        </w:rPr>
      </w:pPr>
      <w:r>
        <w:rPr>
          <w:rFonts w:eastAsia="方正仿宋_GBK"/>
          <w:color w:val="000000"/>
          <w:sz w:val="32"/>
          <w:szCs w:val="32"/>
          <w:shd w:val="clear" w:color="auto" w:fill="FFFFFF"/>
        </w:rPr>
        <w:t>项目执行单位应当按照</w:t>
      </w:r>
      <w:r>
        <w:rPr>
          <w:rFonts w:hint="eastAsia" w:eastAsia="方正仿宋_GBK"/>
          <w:color w:val="000000"/>
          <w:sz w:val="32"/>
          <w:szCs w:val="32"/>
          <w:shd w:val="clear" w:color="auto" w:fill="FFFFFF"/>
        </w:rPr>
        <w:t>“</w:t>
      </w:r>
      <w:r>
        <w:rPr>
          <w:rFonts w:eastAsia="方正仿宋_GBK"/>
          <w:color w:val="000000"/>
          <w:sz w:val="32"/>
          <w:szCs w:val="32"/>
          <w:shd w:val="clear" w:color="auto" w:fill="FFFFFF"/>
        </w:rPr>
        <w:t>专款专用、单独核算、注重绩效</w:t>
      </w:r>
      <w:r>
        <w:rPr>
          <w:rFonts w:hint="eastAsia" w:eastAsia="方正仿宋_GBK"/>
          <w:color w:val="000000"/>
          <w:sz w:val="32"/>
          <w:szCs w:val="32"/>
          <w:shd w:val="clear" w:color="auto" w:fill="FFFFFF"/>
        </w:rPr>
        <w:t>”</w:t>
      </w:r>
      <w:r>
        <w:rPr>
          <w:rFonts w:eastAsia="方正仿宋_GBK"/>
          <w:color w:val="000000"/>
          <w:sz w:val="32"/>
          <w:szCs w:val="32"/>
          <w:shd w:val="clear" w:color="auto" w:fill="FFFFFF"/>
        </w:rPr>
        <w:t>的原则，及时建立健全内控制度（项目实施方案、项目管理办法、专项财务管理制度等），将项目资金纳入单位财务统一管理，单独核算；要严格按照申报用途使用资金，保证项目资金的安全和正确使用，不得以任何形式挤占、截留、挪用项目资金。</w:t>
      </w:r>
    </w:p>
    <w:p w14:paraId="39572EFB">
      <w:pPr>
        <w:overflowPunct w:val="0"/>
        <w:adjustRightInd w:val="0"/>
        <w:snapToGrid w:val="0"/>
        <w:spacing w:line="579" w:lineRule="exact"/>
        <w:ind w:firstLine="640" w:firstLineChars="200"/>
        <w:rPr>
          <w:rFonts w:eastAsia="方正仿宋_GBK"/>
          <w:color w:val="000000"/>
          <w:sz w:val="32"/>
          <w:szCs w:val="32"/>
        </w:rPr>
      </w:pPr>
      <w:r>
        <w:rPr>
          <w:rFonts w:hint="eastAsia" w:ascii="方正黑体_GBK" w:hAnsi="方正黑体_GBK" w:eastAsia="方正黑体_GBK" w:cs="方正黑体_GBK"/>
          <w:color w:val="000000"/>
          <w:sz w:val="32"/>
          <w:szCs w:val="32"/>
        </w:rPr>
        <w:t>八、项目管理</w:t>
      </w:r>
    </w:p>
    <w:p w14:paraId="44C2EDCE">
      <w:pPr>
        <w:overflowPunct w:val="0"/>
        <w:adjustRightInd w:val="0"/>
        <w:snapToGrid w:val="0"/>
        <w:spacing w:line="579" w:lineRule="exact"/>
        <w:ind w:firstLine="640" w:firstLineChars="200"/>
        <w:rPr>
          <w:rFonts w:eastAsia="方正仿宋_GBK"/>
          <w:color w:val="000000"/>
          <w:kern w:val="0"/>
          <w:sz w:val="32"/>
          <w:szCs w:val="32"/>
        </w:rPr>
      </w:pPr>
      <w:r>
        <w:rPr>
          <w:rFonts w:eastAsia="方正仿宋_GBK"/>
          <w:color w:val="000000"/>
          <w:kern w:val="0"/>
          <w:sz w:val="32"/>
          <w:szCs w:val="32"/>
        </w:rPr>
        <w:t>项目实施地的县（自治县）民政部门应当加强对辖区内项目执行单位的监管、指导，确保项目资金科学、合理、有效使用。项目完结后，委托第三方专业机构对项目进行绩效评估，项目绩效评估结果较差且存在违规行为，将依据相关规定进行处理，并由登记管理机关给予当年年检不合格结论。</w:t>
      </w:r>
    </w:p>
    <w:p w14:paraId="7F8EA02B">
      <w:pPr>
        <w:overflowPunct w:val="0"/>
        <w:adjustRightInd w:val="0"/>
        <w:snapToGrid w:val="0"/>
        <w:spacing w:line="579" w:lineRule="exact"/>
        <w:ind w:firstLine="640" w:firstLineChars="200"/>
        <w:rPr>
          <w:rFonts w:eastAsia="方正仿宋_GBK"/>
          <w:color w:val="000000"/>
          <w:sz w:val="32"/>
          <w:szCs w:val="32"/>
        </w:rPr>
      </w:pPr>
      <w:r>
        <w:rPr>
          <w:rFonts w:hint="eastAsia" w:ascii="方正黑体_GBK" w:hAnsi="方正黑体_GBK" w:eastAsia="方正黑体_GBK" w:cs="方正黑体_GBK"/>
          <w:color w:val="000000"/>
          <w:sz w:val="32"/>
          <w:szCs w:val="32"/>
        </w:rPr>
        <w:t>九、宣传总结</w:t>
      </w:r>
    </w:p>
    <w:p w14:paraId="6D6AAF2C">
      <w:pPr>
        <w:overflowPunct w:val="0"/>
        <w:adjustRightInd w:val="0"/>
        <w:snapToGrid w:val="0"/>
        <w:spacing w:line="579" w:lineRule="exact"/>
        <w:ind w:firstLine="640" w:firstLineChars="200"/>
        <w:rPr>
          <w:rFonts w:hint="eastAsia" w:eastAsia="方正黑体_GBK"/>
          <w:color w:val="000000"/>
          <w:sz w:val="32"/>
          <w:szCs w:val="32"/>
        </w:rPr>
      </w:pPr>
      <w:r>
        <w:rPr>
          <w:rFonts w:eastAsia="方正仿宋_GBK"/>
          <w:color w:val="000000"/>
          <w:kern w:val="0"/>
          <w:sz w:val="32"/>
          <w:szCs w:val="32"/>
        </w:rPr>
        <w:t>项目实施地民政部门和项目执行单位要及时宣传报道项目开展情况和社会效益。各项目执行单位要及时收集视频、音频素材，建立专门项目宣传档案，在开展项目宣传活动、下发资料及配发物品上注明鲁渝协作</w:t>
      </w:r>
      <w:bookmarkStart w:id="0" w:name="_GoBack"/>
      <w:r>
        <w:rPr>
          <w:rFonts w:eastAsia="方正仿宋_GBK"/>
          <w:color w:val="000000"/>
          <w:kern w:val="0"/>
          <w:sz w:val="32"/>
          <w:szCs w:val="32"/>
        </w:rPr>
        <w:t>标示</w:t>
      </w:r>
      <w:bookmarkEnd w:id="0"/>
      <w:r>
        <w:rPr>
          <w:rFonts w:eastAsia="方正仿宋_GBK"/>
          <w:color w:val="000000"/>
          <w:kern w:val="0"/>
          <w:sz w:val="32"/>
          <w:szCs w:val="32"/>
        </w:rPr>
        <w:t>图样和</w:t>
      </w:r>
      <w:r>
        <w:rPr>
          <w:rFonts w:hint="eastAsia" w:eastAsia="方正仿宋_GBK"/>
          <w:color w:val="000000"/>
          <w:kern w:val="0"/>
          <w:sz w:val="32"/>
          <w:szCs w:val="32"/>
        </w:rPr>
        <w:t>“</w:t>
      </w:r>
      <w:r>
        <w:rPr>
          <w:rFonts w:eastAsia="方正仿宋_GBK"/>
          <w:color w:val="000000"/>
          <w:kern w:val="0"/>
          <w:sz w:val="32"/>
          <w:szCs w:val="32"/>
        </w:rPr>
        <w:t>东西部协作鲁渝社会组织参与社会服务（202</w:t>
      </w:r>
      <w:r>
        <w:rPr>
          <w:rFonts w:hint="eastAsia" w:eastAsia="方正仿宋_GBK"/>
          <w:color w:val="000000"/>
          <w:kern w:val="0"/>
          <w:sz w:val="32"/>
          <w:szCs w:val="32"/>
        </w:rPr>
        <w:t>4</w:t>
      </w:r>
      <w:r>
        <w:rPr>
          <w:rFonts w:eastAsia="方正仿宋_GBK"/>
          <w:color w:val="000000"/>
          <w:kern w:val="0"/>
          <w:sz w:val="32"/>
          <w:szCs w:val="32"/>
        </w:rPr>
        <w:t>）</w:t>
      </w:r>
      <w:r>
        <w:rPr>
          <w:rFonts w:hint="eastAsia" w:eastAsia="方正仿宋_GBK"/>
          <w:color w:val="000000"/>
          <w:kern w:val="0"/>
          <w:sz w:val="32"/>
          <w:szCs w:val="32"/>
        </w:rPr>
        <w:t>”</w:t>
      </w:r>
      <w:r>
        <w:rPr>
          <w:rFonts w:eastAsia="方正仿宋_GBK"/>
          <w:color w:val="000000"/>
          <w:kern w:val="0"/>
          <w:sz w:val="32"/>
          <w:szCs w:val="32"/>
        </w:rPr>
        <w:t>字样。</w:t>
      </w:r>
    </w:p>
    <w:p w14:paraId="22629E97">
      <w:pPr>
        <w:overflowPunct w:val="0"/>
        <w:adjustRightInd w:val="0"/>
        <w:snapToGrid w:val="0"/>
        <w:spacing w:line="579" w:lineRule="exact"/>
        <w:ind w:firstLine="640" w:firstLineChars="200"/>
        <w:rPr>
          <w:rFonts w:eastAsia="方正黑体_GBK"/>
          <w:color w:val="000000"/>
          <w:sz w:val="32"/>
          <w:szCs w:val="32"/>
        </w:rPr>
      </w:pPr>
      <w:r>
        <w:rPr>
          <w:rFonts w:eastAsia="方正黑体_GBK"/>
          <w:color w:val="000000"/>
          <w:sz w:val="32"/>
          <w:szCs w:val="32"/>
        </w:rPr>
        <w:t>十、评审细则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65"/>
        <w:gridCol w:w="804"/>
        <w:gridCol w:w="4307"/>
        <w:gridCol w:w="1577"/>
      </w:tblGrid>
      <w:tr w14:paraId="1126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17" w:type="dxa"/>
            <w:noWrap w:val="0"/>
            <w:vAlign w:val="center"/>
          </w:tcPr>
          <w:p w14:paraId="377249F7">
            <w:pPr>
              <w:overflowPunct w:val="0"/>
              <w:adjustRightInd w:val="0"/>
              <w:snapToGrid w:val="0"/>
              <w:ind w:firstLine="28"/>
              <w:jc w:val="center"/>
              <w:rPr>
                <w:rFonts w:eastAsia="方正黑体_GBK"/>
                <w:color w:val="000000"/>
              </w:rPr>
            </w:pPr>
            <w:r>
              <w:rPr>
                <w:rFonts w:eastAsia="方正黑体_GBK"/>
                <w:color w:val="000000"/>
              </w:rPr>
              <w:t>序号</w:t>
            </w:r>
          </w:p>
        </w:tc>
        <w:tc>
          <w:tcPr>
            <w:tcW w:w="1365" w:type="dxa"/>
            <w:noWrap w:val="0"/>
            <w:vAlign w:val="center"/>
          </w:tcPr>
          <w:p w14:paraId="530998F5">
            <w:pPr>
              <w:overflowPunct w:val="0"/>
              <w:adjustRightInd w:val="0"/>
              <w:snapToGrid w:val="0"/>
              <w:ind w:firstLine="28"/>
              <w:jc w:val="center"/>
              <w:rPr>
                <w:rFonts w:eastAsia="方正黑体_GBK"/>
                <w:color w:val="000000"/>
              </w:rPr>
            </w:pPr>
            <w:r>
              <w:rPr>
                <w:rFonts w:eastAsia="方正黑体_GBK"/>
                <w:color w:val="000000"/>
              </w:rPr>
              <w:t>评分因素及权值</w:t>
            </w:r>
          </w:p>
        </w:tc>
        <w:tc>
          <w:tcPr>
            <w:tcW w:w="804" w:type="dxa"/>
            <w:noWrap w:val="0"/>
            <w:vAlign w:val="center"/>
          </w:tcPr>
          <w:p w14:paraId="7E30173A">
            <w:pPr>
              <w:overflowPunct w:val="0"/>
              <w:adjustRightInd w:val="0"/>
              <w:snapToGrid w:val="0"/>
              <w:ind w:firstLine="28"/>
              <w:jc w:val="center"/>
              <w:rPr>
                <w:rFonts w:eastAsia="方正黑体_GBK"/>
                <w:color w:val="000000"/>
              </w:rPr>
            </w:pPr>
            <w:r>
              <w:rPr>
                <w:rFonts w:eastAsia="方正黑体_GBK"/>
                <w:color w:val="000000"/>
              </w:rPr>
              <w:t>分值</w:t>
            </w:r>
          </w:p>
        </w:tc>
        <w:tc>
          <w:tcPr>
            <w:tcW w:w="4307" w:type="dxa"/>
            <w:noWrap w:val="0"/>
            <w:vAlign w:val="center"/>
          </w:tcPr>
          <w:p w14:paraId="56B006A8">
            <w:pPr>
              <w:overflowPunct w:val="0"/>
              <w:adjustRightInd w:val="0"/>
              <w:snapToGrid w:val="0"/>
              <w:ind w:firstLine="28"/>
              <w:jc w:val="center"/>
              <w:rPr>
                <w:rFonts w:eastAsia="方正黑体_GBK"/>
                <w:color w:val="000000"/>
              </w:rPr>
            </w:pPr>
            <w:r>
              <w:rPr>
                <w:rFonts w:eastAsia="方正黑体_GBK"/>
                <w:color w:val="000000"/>
              </w:rPr>
              <w:t>评分标准</w:t>
            </w:r>
          </w:p>
        </w:tc>
        <w:tc>
          <w:tcPr>
            <w:tcW w:w="1577" w:type="dxa"/>
            <w:noWrap w:val="0"/>
            <w:vAlign w:val="center"/>
          </w:tcPr>
          <w:p w14:paraId="0A51FE2A">
            <w:pPr>
              <w:pStyle w:val="7"/>
              <w:overflowPunct w:val="0"/>
              <w:adjustRightInd w:val="0"/>
              <w:snapToGrid w:val="0"/>
              <w:spacing w:before="0" w:after="0" w:line="240" w:lineRule="auto"/>
              <w:rPr>
                <w:rFonts w:ascii="Times New Roman" w:hAnsi="Times New Roman" w:eastAsia="方正黑体_GBK"/>
                <w:b w:val="0"/>
                <w:color w:val="000000"/>
                <w:sz w:val="21"/>
                <w:szCs w:val="21"/>
              </w:rPr>
            </w:pPr>
            <w:r>
              <w:rPr>
                <w:rFonts w:ascii="Times New Roman" w:hAnsi="Times New Roman" w:eastAsia="方正黑体_GBK"/>
                <w:b w:val="0"/>
                <w:color w:val="000000"/>
                <w:sz w:val="21"/>
                <w:szCs w:val="21"/>
              </w:rPr>
              <w:t>说明</w:t>
            </w:r>
          </w:p>
        </w:tc>
      </w:tr>
      <w:tr w14:paraId="0DE5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7" w:type="dxa"/>
            <w:vMerge w:val="restart"/>
            <w:noWrap w:val="0"/>
            <w:vAlign w:val="center"/>
          </w:tcPr>
          <w:p w14:paraId="2C8CD299">
            <w:pPr>
              <w:overflowPunct w:val="0"/>
              <w:adjustRightInd w:val="0"/>
              <w:snapToGrid w:val="0"/>
              <w:ind w:firstLine="28"/>
              <w:jc w:val="center"/>
              <w:rPr>
                <w:rFonts w:eastAsia="方正仿宋_GBK"/>
                <w:color w:val="000000"/>
              </w:rPr>
            </w:pPr>
            <w:r>
              <w:rPr>
                <w:rFonts w:eastAsia="方正仿宋_GBK"/>
                <w:color w:val="000000"/>
              </w:rPr>
              <w:t>1</w:t>
            </w:r>
          </w:p>
        </w:tc>
        <w:tc>
          <w:tcPr>
            <w:tcW w:w="1365" w:type="dxa"/>
            <w:vMerge w:val="restart"/>
            <w:noWrap w:val="0"/>
            <w:vAlign w:val="center"/>
          </w:tcPr>
          <w:p w14:paraId="10A5C98D">
            <w:pPr>
              <w:overflowPunct w:val="0"/>
              <w:adjustRightInd w:val="0"/>
              <w:snapToGrid w:val="0"/>
              <w:ind w:firstLine="28"/>
              <w:jc w:val="center"/>
              <w:rPr>
                <w:rFonts w:eastAsia="方正仿宋_GBK"/>
                <w:color w:val="000000"/>
              </w:rPr>
            </w:pPr>
            <w:r>
              <w:rPr>
                <w:rFonts w:eastAsia="方正仿宋_GBK"/>
                <w:color w:val="000000"/>
              </w:rPr>
              <w:t>项目内容（80%）</w:t>
            </w:r>
          </w:p>
        </w:tc>
        <w:tc>
          <w:tcPr>
            <w:tcW w:w="804" w:type="dxa"/>
            <w:vMerge w:val="restart"/>
            <w:noWrap w:val="0"/>
            <w:vAlign w:val="center"/>
          </w:tcPr>
          <w:p w14:paraId="2E17D8E1">
            <w:pPr>
              <w:overflowPunct w:val="0"/>
              <w:adjustRightInd w:val="0"/>
              <w:snapToGrid w:val="0"/>
              <w:ind w:firstLine="28"/>
              <w:jc w:val="center"/>
              <w:rPr>
                <w:rFonts w:eastAsia="方正仿宋_GBK"/>
                <w:color w:val="000000"/>
              </w:rPr>
            </w:pPr>
            <w:r>
              <w:rPr>
                <w:rFonts w:eastAsia="方正仿宋_GBK"/>
                <w:color w:val="000000"/>
              </w:rPr>
              <w:t>80</w:t>
            </w:r>
          </w:p>
        </w:tc>
        <w:tc>
          <w:tcPr>
            <w:tcW w:w="4307" w:type="dxa"/>
            <w:noWrap w:val="0"/>
            <w:vAlign w:val="center"/>
          </w:tcPr>
          <w:p w14:paraId="51C6C665">
            <w:pPr>
              <w:overflowPunct w:val="0"/>
              <w:adjustRightInd w:val="0"/>
              <w:snapToGrid w:val="0"/>
              <w:spacing w:line="300" w:lineRule="exact"/>
              <w:rPr>
                <w:rFonts w:eastAsia="方正仿宋_GBK"/>
                <w:color w:val="000000"/>
              </w:rPr>
            </w:pPr>
            <w:r>
              <w:rPr>
                <w:rFonts w:eastAsia="方正仿宋_GBK"/>
                <w:color w:val="000000"/>
              </w:rPr>
              <w:t>项目背景分析：20分</w:t>
            </w:r>
          </w:p>
          <w:p w14:paraId="5BC5626B">
            <w:pPr>
              <w:overflowPunct w:val="0"/>
              <w:adjustRightInd w:val="0"/>
              <w:snapToGrid w:val="0"/>
              <w:spacing w:line="300" w:lineRule="exact"/>
              <w:rPr>
                <w:rFonts w:eastAsia="方正仿宋_GBK"/>
                <w:color w:val="000000"/>
              </w:rPr>
            </w:pPr>
            <w:r>
              <w:rPr>
                <w:rFonts w:eastAsia="方正仿宋_GBK"/>
                <w:color w:val="000000"/>
              </w:rPr>
              <w:t>服务区域情况清楚、受益对象需求分析准确得20分，服务区域情况较清楚、受益对象需求分析较准确得14分，服务区域、受益对象情况分析一般得8分。</w:t>
            </w:r>
          </w:p>
        </w:tc>
        <w:tc>
          <w:tcPr>
            <w:tcW w:w="1577" w:type="dxa"/>
            <w:vMerge w:val="restart"/>
            <w:noWrap w:val="0"/>
            <w:vAlign w:val="center"/>
          </w:tcPr>
          <w:p w14:paraId="2C3A095C">
            <w:pPr>
              <w:overflowPunct w:val="0"/>
              <w:adjustRightInd w:val="0"/>
              <w:snapToGrid w:val="0"/>
              <w:rPr>
                <w:rFonts w:eastAsia="方正仿宋_GBK"/>
                <w:color w:val="000000"/>
              </w:rPr>
            </w:pPr>
            <w:r>
              <w:rPr>
                <w:rFonts w:eastAsia="方正仿宋_GBK"/>
                <w:color w:val="000000"/>
              </w:rPr>
              <w:t>社会组织提供书面方案</w:t>
            </w:r>
          </w:p>
        </w:tc>
      </w:tr>
      <w:tr w14:paraId="6392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7" w:type="dxa"/>
            <w:vMerge w:val="continue"/>
            <w:noWrap w:val="0"/>
            <w:vAlign w:val="center"/>
          </w:tcPr>
          <w:p w14:paraId="675A4715">
            <w:pPr>
              <w:overflowPunct w:val="0"/>
              <w:adjustRightInd w:val="0"/>
              <w:snapToGrid w:val="0"/>
              <w:jc w:val="left"/>
              <w:rPr>
                <w:rFonts w:eastAsia="方正仿宋_GBK"/>
                <w:color w:val="000000"/>
              </w:rPr>
            </w:pPr>
          </w:p>
        </w:tc>
        <w:tc>
          <w:tcPr>
            <w:tcW w:w="1365" w:type="dxa"/>
            <w:vMerge w:val="continue"/>
            <w:noWrap w:val="0"/>
            <w:vAlign w:val="center"/>
          </w:tcPr>
          <w:p w14:paraId="72831B96">
            <w:pPr>
              <w:overflowPunct w:val="0"/>
              <w:adjustRightInd w:val="0"/>
              <w:snapToGrid w:val="0"/>
              <w:jc w:val="left"/>
              <w:rPr>
                <w:rFonts w:eastAsia="方正仿宋_GBK"/>
                <w:color w:val="000000"/>
              </w:rPr>
            </w:pPr>
          </w:p>
        </w:tc>
        <w:tc>
          <w:tcPr>
            <w:tcW w:w="804" w:type="dxa"/>
            <w:vMerge w:val="continue"/>
            <w:noWrap w:val="0"/>
            <w:vAlign w:val="center"/>
          </w:tcPr>
          <w:p w14:paraId="24A5EBAD">
            <w:pPr>
              <w:overflowPunct w:val="0"/>
              <w:adjustRightInd w:val="0"/>
              <w:snapToGrid w:val="0"/>
              <w:jc w:val="left"/>
              <w:rPr>
                <w:rFonts w:eastAsia="方正仿宋_GBK"/>
                <w:color w:val="000000"/>
              </w:rPr>
            </w:pPr>
          </w:p>
        </w:tc>
        <w:tc>
          <w:tcPr>
            <w:tcW w:w="4307" w:type="dxa"/>
            <w:noWrap w:val="0"/>
            <w:vAlign w:val="center"/>
          </w:tcPr>
          <w:p w14:paraId="51BCBA17">
            <w:pPr>
              <w:overflowPunct w:val="0"/>
              <w:adjustRightInd w:val="0"/>
              <w:snapToGrid w:val="0"/>
              <w:spacing w:line="300" w:lineRule="exact"/>
              <w:rPr>
                <w:rFonts w:eastAsia="方正仿宋_GBK"/>
                <w:color w:val="000000"/>
              </w:rPr>
            </w:pPr>
            <w:r>
              <w:rPr>
                <w:rFonts w:eastAsia="方正仿宋_GBK"/>
                <w:color w:val="000000"/>
              </w:rPr>
              <w:t>项目内容：20分</w:t>
            </w:r>
          </w:p>
          <w:p w14:paraId="105377BF">
            <w:pPr>
              <w:overflowPunct w:val="0"/>
              <w:adjustRightInd w:val="0"/>
              <w:snapToGrid w:val="0"/>
              <w:spacing w:line="300" w:lineRule="exact"/>
              <w:rPr>
                <w:rFonts w:eastAsia="方正仿宋_GBK"/>
                <w:color w:val="000000"/>
              </w:rPr>
            </w:pPr>
            <w:r>
              <w:rPr>
                <w:rFonts w:eastAsia="方正仿宋_GBK"/>
                <w:color w:val="000000"/>
              </w:rPr>
              <w:t>项目内容条理清晰、可行性强得20分，条理较清晰可行性较强得14分，条理、可行性一般得8分。</w:t>
            </w:r>
          </w:p>
        </w:tc>
        <w:tc>
          <w:tcPr>
            <w:tcW w:w="1577" w:type="dxa"/>
            <w:vMerge w:val="continue"/>
            <w:noWrap w:val="0"/>
            <w:vAlign w:val="center"/>
          </w:tcPr>
          <w:p w14:paraId="497D4248">
            <w:pPr>
              <w:overflowPunct w:val="0"/>
              <w:adjustRightInd w:val="0"/>
              <w:snapToGrid w:val="0"/>
              <w:jc w:val="left"/>
              <w:rPr>
                <w:rFonts w:eastAsia="方正仿宋_GBK"/>
                <w:color w:val="000000"/>
              </w:rPr>
            </w:pPr>
          </w:p>
        </w:tc>
      </w:tr>
      <w:tr w14:paraId="2A8E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7" w:type="dxa"/>
            <w:vMerge w:val="continue"/>
            <w:noWrap w:val="0"/>
            <w:vAlign w:val="center"/>
          </w:tcPr>
          <w:p w14:paraId="62E9CED6">
            <w:pPr>
              <w:overflowPunct w:val="0"/>
              <w:adjustRightInd w:val="0"/>
              <w:snapToGrid w:val="0"/>
              <w:jc w:val="left"/>
              <w:rPr>
                <w:rFonts w:eastAsia="方正仿宋_GBK"/>
                <w:color w:val="000000"/>
              </w:rPr>
            </w:pPr>
          </w:p>
        </w:tc>
        <w:tc>
          <w:tcPr>
            <w:tcW w:w="1365" w:type="dxa"/>
            <w:vMerge w:val="continue"/>
            <w:noWrap w:val="0"/>
            <w:vAlign w:val="center"/>
          </w:tcPr>
          <w:p w14:paraId="339AEA9E">
            <w:pPr>
              <w:overflowPunct w:val="0"/>
              <w:adjustRightInd w:val="0"/>
              <w:snapToGrid w:val="0"/>
              <w:jc w:val="left"/>
              <w:rPr>
                <w:rFonts w:eastAsia="方正仿宋_GBK"/>
                <w:color w:val="000000"/>
              </w:rPr>
            </w:pPr>
          </w:p>
        </w:tc>
        <w:tc>
          <w:tcPr>
            <w:tcW w:w="804" w:type="dxa"/>
            <w:vMerge w:val="continue"/>
            <w:noWrap w:val="0"/>
            <w:vAlign w:val="center"/>
          </w:tcPr>
          <w:p w14:paraId="54A38DB0">
            <w:pPr>
              <w:overflowPunct w:val="0"/>
              <w:adjustRightInd w:val="0"/>
              <w:snapToGrid w:val="0"/>
              <w:jc w:val="left"/>
              <w:rPr>
                <w:rFonts w:eastAsia="方正仿宋_GBK"/>
                <w:color w:val="000000"/>
              </w:rPr>
            </w:pPr>
          </w:p>
        </w:tc>
        <w:tc>
          <w:tcPr>
            <w:tcW w:w="4307" w:type="dxa"/>
            <w:noWrap w:val="0"/>
            <w:vAlign w:val="center"/>
          </w:tcPr>
          <w:p w14:paraId="0689813B">
            <w:pPr>
              <w:overflowPunct w:val="0"/>
              <w:adjustRightInd w:val="0"/>
              <w:snapToGrid w:val="0"/>
              <w:spacing w:line="300" w:lineRule="exact"/>
              <w:rPr>
                <w:rFonts w:eastAsia="方正仿宋_GBK"/>
                <w:color w:val="000000"/>
              </w:rPr>
            </w:pPr>
            <w:r>
              <w:rPr>
                <w:rFonts w:eastAsia="方正仿宋_GBK"/>
                <w:color w:val="000000"/>
              </w:rPr>
              <w:t>项目进度安排：15分</w:t>
            </w:r>
          </w:p>
          <w:p w14:paraId="17B2922F">
            <w:pPr>
              <w:overflowPunct w:val="0"/>
              <w:adjustRightInd w:val="0"/>
              <w:snapToGrid w:val="0"/>
              <w:spacing w:line="300" w:lineRule="exact"/>
              <w:rPr>
                <w:rFonts w:eastAsia="方正仿宋_GBK"/>
                <w:color w:val="000000"/>
              </w:rPr>
            </w:pPr>
            <w:r>
              <w:rPr>
                <w:rFonts w:eastAsia="方正仿宋_GBK"/>
                <w:color w:val="000000"/>
              </w:rPr>
              <w:t>项目进度安排合理、可行性强得15分，项目进度安排合理、可行性较强得10分，进度安排、可行性一般得7分。</w:t>
            </w:r>
          </w:p>
        </w:tc>
        <w:tc>
          <w:tcPr>
            <w:tcW w:w="1577" w:type="dxa"/>
            <w:vMerge w:val="continue"/>
            <w:noWrap w:val="0"/>
            <w:vAlign w:val="center"/>
          </w:tcPr>
          <w:p w14:paraId="3A9EFF76">
            <w:pPr>
              <w:overflowPunct w:val="0"/>
              <w:adjustRightInd w:val="0"/>
              <w:snapToGrid w:val="0"/>
              <w:jc w:val="left"/>
              <w:rPr>
                <w:rFonts w:eastAsia="方正仿宋_GBK"/>
                <w:color w:val="000000"/>
              </w:rPr>
            </w:pPr>
          </w:p>
        </w:tc>
      </w:tr>
      <w:tr w14:paraId="3D5B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7" w:type="dxa"/>
            <w:vMerge w:val="continue"/>
            <w:noWrap w:val="0"/>
            <w:vAlign w:val="center"/>
          </w:tcPr>
          <w:p w14:paraId="5E559FF8">
            <w:pPr>
              <w:overflowPunct w:val="0"/>
              <w:adjustRightInd w:val="0"/>
              <w:snapToGrid w:val="0"/>
              <w:jc w:val="left"/>
              <w:rPr>
                <w:rFonts w:eastAsia="方正仿宋_GBK"/>
                <w:color w:val="000000"/>
              </w:rPr>
            </w:pPr>
          </w:p>
        </w:tc>
        <w:tc>
          <w:tcPr>
            <w:tcW w:w="1365" w:type="dxa"/>
            <w:vMerge w:val="continue"/>
            <w:noWrap w:val="0"/>
            <w:vAlign w:val="center"/>
          </w:tcPr>
          <w:p w14:paraId="0F1B4940">
            <w:pPr>
              <w:overflowPunct w:val="0"/>
              <w:adjustRightInd w:val="0"/>
              <w:snapToGrid w:val="0"/>
              <w:jc w:val="left"/>
              <w:rPr>
                <w:rFonts w:eastAsia="方正仿宋_GBK"/>
                <w:color w:val="000000"/>
              </w:rPr>
            </w:pPr>
          </w:p>
        </w:tc>
        <w:tc>
          <w:tcPr>
            <w:tcW w:w="804" w:type="dxa"/>
            <w:vMerge w:val="continue"/>
            <w:noWrap w:val="0"/>
            <w:vAlign w:val="center"/>
          </w:tcPr>
          <w:p w14:paraId="5D79BD42">
            <w:pPr>
              <w:overflowPunct w:val="0"/>
              <w:adjustRightInd w:val="0"/>
              <w:snapToGrid w:val="0"/>
              <w:jc w:val="left"/>
              <w:rPr>
                <w:rFonts w:eastAsia="方正仿宋_GBK"/>
                <w:color w:val="000000"/>
              </w:rPr>
            </w:pPr>
          </w:p>
        </w:tc>
        <w:tc>
          <w:tcPr>
            <w:tcW w:w="4307" w:type="dxa"/>
            <w:noWrap w:val="0"/>
            <w:vAlign w:val="center"/>
          </w:tcPr>
          <w:p w14:paraId="46972721">
            <w:pPr>
              <w:overflowPunct w:val="0"/>
              <w:adjustRightInd w:val="0"/>
              <w:snapToGrid w:val="0"/>
              <w:spacing w:line="300" w:lineRule="exact"/>
              <w:rPr>
                <w:rFonts w:eastAsia="方正仿宋_GBK"/>
                <w:color w:val="000000"/>
              </w:rPr>
            </w:pPr>
            <w:r>
              <w:rPr>
                <w:rFonts w:eastAsia="方正仿宋_GBK"/>
                <w:color w:val="000000"/>
              </w:rPr>
              <w:t>项目预期效益：15分</w:t>
            </w:r>
          </w:p>
          <w:p w14:paraId="4419E4E8">
            <w:pPr>
              <w:overflowPunct w:val="0"/>
              <w:adjustRightInd w:val="0"/>
              <w:snapToGrid w:val="0"/>
              <w:spacing w:line="300" w:lineRule="exact"/>
              <w:rPr>
                <w:color w:val="000000"/>
              </w:rPr>
            </w:pPr>
            <w:r>
              <w:rPr>
                <w:rFonts w:eastAsia="方正仿宋_GBK"/>
                <w:color w:val="000000"/>
              </w:rPr>
              <w:t>项目预期效益清楚、可评量性高得15分，项目预期效益较清楚、可评量性较高得10分，预期效益、可评量性一般得7分。</w:t>
            </w:r>
          </w:p>
        </w:tc>
        <w:tc>
          <w:tcPr>
            <w:tcW w:w="1577" w:type="dxa"/>
            <w:vMerge w:val="continue"/>
            <w:noWrap w:val="0"/>
            <w:vAlign w:val="center"/>
          </w:tcPr>
          <w:p w14:paraId="43A3F288">
            <w:pPr>
              <w:overflowPunct w:val="0"/>
              <w:adjustRightInd w:val="0"/>
              <w:snapToGrid w:val="0"/>
              <w:jc w:val="left"/>
              <w:rPr>
                <w:rFonts w:eastAsia="方正仿宋_GBK"/>
                <w:color w:val="000000"/>
              </w:rPr>
            </w:pPr>
          </w:p>
        </w:tc>
      </w:tr>
      <w:tr w14:paraId="2765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7" w:type="dxa"/>
            <w:vMerge w:val="continue"/>
            <w:noWrap w:val="0"/>
            <w:vAlign w:val="center"/>
          </w:tcPr>
          <w:p w14:paraId="664412D4">
            <w:pPr>
              <w:overflowPunct w:val="0"/>
              <w:adjustRightInd w:val="0"/>
              <w:snapToGrid w:val="0"/>
              <w:jc w:val="left"/>
              <w:rPr>
                <w:rFonts w:eastAsia="方正仿宋_GBK"/>
                <w:color w:val="000000"/>
              </w:rPr>
            </w:pPr>
          </w:p>
        </w:tc>
        <w:tc>
          <w:tcPr>
            <w:tcW w:w="1365" w:type="dxa"/>
            <w:vMerge w:val="continue"/>
            <w:noWrap w:val="0"/>
            <w:vAlign w:val="center"/>
          </w:tcPr>
          <w:p w14:paraId="5D2E46BC">
            <w:pPr>
              <w:overflowPunct w:val="0"/>
              <w:adjustRightInd w:val="0"/>
              <w:snapToGrid w:val="0"/>
              <w:jc w:val="left"/>
              <w:rPr>
                <w:rFonts w:eastAsia="方正仿宋_GBK"/>
                <w:color w:val="000000"/>
              </w:rPr>
            </w:pPr>
          </w:p>
        </w:tc>
        <w:tc>
          <w:tcPr>
            <w:tcW w:w="804" w:type="dxa"/>
            <w:vMerge w:val="continue"/>
            <w:noWrap w:val="0"/>
            <w:vAlign w:val="center"/>
          </w:tcPr>
          <w:p w14:paraId="4C0CAF87">
            <w:pPr>
              <w:overflowPunct w:val="0"/>
              <w:adjustRightInd w:val="0"/>
              <w:snapToGrid w:val="0"/>
              <w:jc w:val="left"/>
              <w:rPr>
                <w:rFonts w:eastAsia="方正仿宋_GBK"/>
                <w:color w:val="000000"/>
              </w:rPr>
            </w:pPr>
          </w:p>
        </w:tc>
        <w:tc>
          <w:tcPr>
            <w:tcW w:w="4307" w:type="dxa"/>
            <w:noWrap w:val="0"/>
            <w:vAlign w:val="center"/>
          </w:tcPr>
          <w:p w14:paraId="0E68DCE4">
            <w:pPr>
              <w:overflowPunct w:val="0"/>
              <w:adjustRightInd w:val="0"/>
              <w:snapToGrid w:val="0"/>
              <w:spacing w:line="300" w:lineRule="exact"/>
              <w:rPr>
                <w:rFonts w:eastAsia="方正仿宋_GBK"/>
                <w:color w:val="000000"/>
              </w:rPr>
            </w:pPr>
            <w:r>
              <w:rPr>
                <w:rFonts w:eastAsia="方正仿宋_GBK"/>
                <w:color w:val="000000"/>
              </w:rPr>
              <w:t>工作保障：5分</w:t>
            </w:r>
          </w:p>
          <w:p w14:paraId="137F38FE">
            <w:pPr>
              <w:overflowPunct w:val="0"/>
              <w:adjustRightInd w:val="0"/>
              <w:snapToGrid w:val="0"/>
              <w:spacing w:line="300" w:lineRule="exact"/>
              <w:rPr>
                <w:rFonts w:eastAsia="方正仿宋_GBK"/>
                <w:color w:val="000000"/>
              </w:rPr>
            </w:pPr>
            <w:r>
              <w:rPr>
                <w:rFonts w:eastAsia="方正仿宋_GBK"/>
                <w:color w:val="000000"/>
              </w:rPr>
              <w:t>对项目实施的保障措施得力，得5分；</w:t>
            </w:r>
          </w:p>
          <w:p w14:paraId="1E395044">
            <w:pPr>
              <w:overflowPunct w:val="0"/>
              <w:adjustRightInd w:val="0"/>
              <w:snapToGrid w:val="0"/>
              <w:spacing w:line="300" w:lineRule="exact"/>
              <w:rPr>
                <w:rFonts w:eastAsia="方正仿宋_GBK"/>
                <w:color w:val="000000"/>
              </w:rPr>
            </w:pPr>
            <w:r>
              <w:rPr>
                <w:rFonts w:eastAsia="方正仿宋_GBK"/>
                <w:color w:val="000000"/>
              </w:rPr>
              <w:t>保障措施基本符合项目实施要求的，得3分。</w:t>
            </w:r>
          </w:p>
        </w:tc>
        <w:tc>
          <w:tcPr>
            <w:tcW w:w="1577" w:type="dxa"/>
            <w:vMerge w:val="continue"/>
            <w:noWrap w:val="0"/>
            <w:vAlign w:val="center"/>
          </w:tcPr>
          <w:p w14:paraId="24419ABA">
            <w:pPr>
              <w:overflowPunct w:val="0"/>
              <w:adjustRightInd w:val="0"/>
              <w:snapToGrid w:val="0"/>
              <w:jc w:val="left"/>
              <w:rPr>
                <w:rFonts w:eastAsia="方正仿宋_GBK"/>
                <w:color w:val="000000"/>
              </w:rPr>
            </w:pPr>
          </w:p>
        </w:tc>
      </w:tr>
      <w:tr w14:paraId="2D90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7" w:type="dxa"/>
            <w:vMerge w:val="continue"/>
            <w:noWrap w:val="0"/>
            <w:vAlign w:val="center"/>
          </w:tcPr>
          <w:p w14:paraId="3B3990DD">
            <w:pPr>
              <w:overflowPunct w:val="0"/>
              <w:adjustRightInd w:val="0"/>
              <w:snapToGrid w:val="0"/>
              <w:jc w:val="left"/>
              <w:rPr>
                <w:rFonts w:eastAsia="方正仿宋_GBK"/>
                <w:color w:val="000000"/>
              </w:rPr>
            </w:pPr>
          </w:p>
        </w:tc>
        <w:tc>
          <w:tcPr>
            <w:tcW w:w="1365" w:type="dxa"/>
            <w:vMerge w:val="continue"/>
            <w:noWrap w:val="0"/>
            <w:vAlign w:val="center"/>
          </w:tcPr>
          <w:p w14:paraId="3BB22FC5">
            <w:pPr>
              <w:overflowPunct w:val="0"/>
              <w:adjustRightInd w:val="0"/>
              <w:snapToGrid w:val="0"/>
              <w:jc w:val="left"/>
              <w:rPr>
                <w:rFonts w:eastAsia="方正仿宋_GBK"/>
                <w:color w:val="000000"/>
              </w:rPr>
            </w:pPr>
          </w:p>
        </w:tc>
        <w:tc>
          <w:tcPr>
            <w:tcW w:w="804" w:type="dxa"/>
            <w:vMerge w:val="continue"/>
            <w:noWrap w:val="0"/>
            <w:vAlign w:val="center"/>
          </w:tcPr>
          <w:p w14:paraId="2A0E2BAB">
            <w:pPr>
              <w:overflowPunct w:val="0"/>
              <w:adjustRightInd w:val="0"/>
              <w:snapToGrid w:val="0"/>
              <w:jc w:val="left"/>
              <w:rPr>
                <w:rFonts w:eastAsia="方正仿宋_GBK"/>
                <w:color w:val="000000"/>
              </w:rPr>
            </w:pPr>
          </w:p>
        </w:tc>
        <w:tc>
          <w:tcPr>
            <w:tcW w:w="4307" w:type="dxa"/>
            <w:noWrap w:val="0"/>
            <w:vAlign w:val="center"/>
          </w:tcPr>
          <w:p w14:paraId="25A7D09B">
            <w:pPr>
              <w:overflowPunct w:val="0"/>
              <w:adjustRightInd w:val="0"/>
              <w:snapToGrid w:val="0"/>
              <w:spacing w:line="300" w:lineRule="exact"/>
              <w:rPr>
                <w:rFonts w:eastAsia="方正仿宋_GBK"/>
                <w:color w:val="000000"/>
              </w:rPr>
            </w:pPr>
            <w:r>
              <w:rPr>
                <w:rFonts w:eastAsia="方正仿宋_GBK"/>
                <w:color w:val="000000"/>
              </w:rPr>
              <w:t>社会宣传：5分</w:t>
            </w:r>
          </w:p>
          <w:p w14:paraId="42BA585D">
            <w:pPr>
              <w:overflowPunct w:val="0"/>
              <w:adjustRightInd w:val="0"/>
              <w:snapToGrid w:val="0"/>
              <w:spacing w:line="300" w:lineRule="exact"/>
              <w:rPr>
                <w:rFonts w:eastAsia="方正仿宋_GBK"/>
                <w:color w:val="000000"/>
              </w:rPr>
            </w:pPr>
            <w:r>
              <w:rPr>
                <w:rFonts w:eastAsia="方正仿宋_GBK"/>
                <w:color w:val="000000"/>
              </w:rPr>
              <w:t>项目实施宣传方案合理可行，得5分；</w:t>
            </w:r>
          </w:p>
          <w:p w14:paraId="3E0B3040">
            <w:pPr>
              <w:overflowPunct w:val="0"/>
              <w:adjustRightInd w:val="0"/>
              <w:snapToGrid w:val="0"/>
              <w:spacing w:line="300" w:lineRule="exact"/>
              <w:rPr>
                <w:rFonts w:eastAsia="方正仿宋_GBK"/>
                <w:color w:val="000000"/>
              </w:rPr>
            </w:pPr>
            <w:r>
              <w:rPr>
                <w:rFonts w:eastAsia="方正仿宋_GBK"/>
                <w:color w:val="000000"/>
              </w:rPr>
              <w:t>项目实施宣传方案基本合理，得3分；</w:t>
            </w:r>
          </w:p>
          <w:p w14:paraId="133D5E72">
            <w:pPr>
              <w:overflowPunct w:val="0"/>
              <w:adjustRightInd w:val="0"/>
              <w:snapToGrid w:val="0"/>
              <w:spacing w:line="300" w:lineRule="exact"/>
              <w:rPr>
                <w:rFonts w:eastAsia="方正仿宋_GBK"/>
                <w:color w:val="000000"/>
              </w:rPr>
            </w:pPr>
            <w:r>
              <w:rPr>
                <w:rFonts w:eastAsia="方正仿宋_GBK"/>
                <w:color w:val="000000"/>
              </w:rPr>
              <w:t>项目实施宣传方案较差，得1分。</w:t>
            </w:r>
          </w:p>
        </w:tc>
        <w:tc>
          <w:tcPr>
            <w:tcW w:w="1577" w:type="dxa"/>
            <w:noWrap w:val="0"/>
            <w:vAlign w:val="center"/>
          </w:tcPr>
          <w:p w14:paraId="3294653A">
            <w:pPr>
              <w:overflowPunct w:val="0"/>
              <w:adjustRightInd w:val="0"/>
              <w:snapToGrid w:val="0"/>
              <w:rPr>
                <w:rFonts w:eastAsia="方正仿宋_GBK"/>
                <w:color w:val="000000"/>
              </w:rPr>
            </w:pPr>
          </w:p>
        </w:tc>
      </w:tr>
      <w:tr w14:paraId="508D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7" w:type="dxa"/>
            <w:vMerge w:val="restart"/>
            <w:noWrap w:val="0"/>
            <w:vAlign w:val="center"/>
          </w:tcPr>
          <w:p w14:paraId="1F6CA8A5">
            <w:pPr>
              <w:overflowPunct w:val="0"/>
              <w:adjustRightInd w:val="0"/>
              <w:snapToGrid w:val="0"/>
              <w:ind w:firstLine="28"/>
              <w:jc w:val="center"/>
              <w:rPr>
                <w:rFonts w:eastAsia="方正仿宋_GBK"/>
                <w:color w:val="000000"/>
              </w:rPr>
            </w:pPr>
            <w:r>
              <w:rPr>
                <w:rFonts w:eastAsia="方正仿宋_GBK"/>
                <w:color w:val="000000"/>
              </w:rPr>
              <w:t>2</w:t>
            </w:r>
          </w:p>
        </w:tc>
        <w:tc>
          <w:tcPr>
            <w:tcW w:w="1365" w:type="dxa"/>
            <w:vMerge w:val="restart"/>
            <w:noWrap w:val="0"/>
            <w:vAlign w:val="center"/>
          </w:tcPr>
          <w:p w14:paraId="3AD049AB">
            <w:pPr>
              <w:overflowPunct w:val="0"/>
              <w:adjustRightInd w:val="0"/>
              <w:snapToGrid w:val="0"/>
              <w:ind w:firstLine="28"/>
              <w:jc w:val="center"/>
              <w:rPr>
                <w:rFonts w:eastAsia="方正仿宋_GBK"/>
                <w:color w:val="000000"/>
              </w:rPr>
            </w:pPr>
            <w:r>
              <w:rPr>
                <w:rFonts w:eastAsia="方正仿宋_GBK"/>
                <w:color w:val="000000"/>
              </w:rPr>
              <w:t>资质能力（20%）</w:t>
            </w:r>
          </w:p>
        </w:tc>
        <w:tc>
          <w:tcPr>
            <w:tcW w:w="804" w:type="dxa"/>
            <w:vMerge w:val="restart"/>
            <w:noWrap w:val="0"/>
            <w:vAlign w:val="center"/>
          </w:tcPr>
          <w:p w14:paraId="43B8C32C">
            <w:pPr>
              <w:overflowPunct w:val="0"/>
              <w:adjustRightInd w:val="0"/>
              <w:snapToGrid w:val="0"/>
              <w:ind w:firstLine="28"/>
              <w:jc w:val="center"/>
              <w:rPr>
                <w:rFonts w:eastAsia="方正仿宋_GBK"/>
                <w:color w:val="000000"/>
              </w:rPr>
            </w:pPr>
            <w:r>
              <w:rPr>
                <w:rFonts w:eastAsia="方正仿宋_GBK"/>
                <w:color w:val="000000"/>
              </w:rPr>
              <w:t>20</w:t>
            </w:r>
          </w:p>
        </w:tc>
        <w:tc>
          <w:tcPr>
            <w:tcW w:w="4307" w:type="dxa"/>
            <w:noWrap w:val="0"/>
            <w:vAlign w:val="center"/>
          </w:tcPr>
          <w:p w14:paraId="5976045A">
            <w:pPr>
              <w:overflowPunct w:val="0"/>
              <w:adjustRightInd w:val="0"/>
              <w:snapToGrid w:val="0"/>
              <w:spacing w:line="280" w:lineRule="exact"/>
              <w:rPr>
                <w:rFonts w:eastAsia="方正仿宋_GBK"/>
                <w:color w:val="000000"/>
              </w:rPr>
            </w:pPr>
            <w:r>
              <w:rPr>
                <w:rFonts w:eastAsia="方正仿宋_GBK"/>
                <w:color w:val="000000"/>
              </w:rPr>
              <w:t>项目经历：5分</w:t>
            </w:r>
          </w:p>
          <w:p w14:paraId="02062CA7">
            <w:pPr>
              <w:overflowPunct w:val="0"/>
              <w:adjustRightInd w:val="0"/>
              <w:snapToGrid w:val="0"/>
              <w:spacing w:line="280" w:lineRule="exact"/>
              <w:rPr>
                <w:rFonts w:eastAsia="方正仿宋_GBK"/>
                <w:color w:val="000000"/>
              </w:rPr>
            </w:pPr>
            <w:r>
              <w:rPr>
                <w:rFonts w:eastAsia="方正仿宋_GBK"/>
                <w:color w:val="000000"/>
              </w:rPr>
              <w:t>社会组织承接过重庆市购买服务的，每承接过一个得1分。</w:t>
            </w:r>
          </w:p>
        </w:tc>
        <w:tc>
          <w:tcPr>
            <w:tcW w:w="1577" w:type="dxa"/>
            <w:vMerge w:val="restart"/>
            <w:noWrap w:val="0"/>
            <w:vAlign w:val="center"/>
          </w:tcPr>
          <w:p w14:paraId="1EFD9668">
            <w:pPr>
              <w:overflowPunct w:val="0"/>
              <w:adjustRightInd w:val="0"/>
              <w:snapToGrid w:val="0"/>
              <w:rPr>
                <w:rFonts w:eastAsia="方正仿宋_GBK"/>
                <w:color w:val="000000"/>
              </w:rPr>
            </w:pPr>
            <w:r>
              <w:rPr>
                <w:rFonts w:eastAsia="方正仿宋_GBK"/>
                <w:color w:val="000000"/>
              </w:rPr>
              <w:t>社会组织提供相关证明材料扫描件</w:t>
            </w:r>
          </w:p>
        </w:tc>
      </w:tr>
      <w:tr w14:paraId="6B2F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7" w:type="dxa"/>
            <w:vMerge w:val="continue"/>
            <w:noWrap w:val="0"/>
            <w:vAlign w:val="center"/>
          </w:tcPr>
          <w:p w14:paraId="1F3AC83B">
            <w:pPr>
              <w:overflowPunct w:val="0"/>
              <w:adjustRightInd w:val="0"/>
              <w:snapToGrid w:val="0"/>
              <w:jc w:val="left"/>
              <w:rPr>
                <w:rFonts w:eastAsia="方正仿宋_GBK"/>
                <w:color w:val="000000"/>
              </w:rPr>
            </w:pPr>
          </w:p>
        </w:tc>
        <w:tc>
          <w:tcPr>
            <w:tcW w:w="1365" w:type="dxa"/>
            <w:vMerge w:val="continue"/>
            <w:noWrap w:val="0"/>
            <w:vAlign w:val="center"/>
          </w:tcPr>
          <w:p w14:paraId="6C476257">
            <w:pPr>
              <w:overflowPunct w:val="0"/>
              <w:adjustRightInd w:val="0"/>
              <w:snapToGrid w:val="0"/>
              <w:jc w:val="left"/>
              <w:rPr>
                <w:rFonts w:eastAsia="方正仿宋_GBK"/>
                <w:color w:val="000000"/>
              </w:rPr>
            </w:pPr>
          </w:p>
        </w:tc>
        <w:tc>
          <w:tcPr>
            <w:tcW w:w="804" w:type="dxa"/>
            <w:vMerge w:val="continue"/>
            <w:noWrap w:val="0"/>
            <w:vAlign w:val="center"/>
          </w:tcPr>
          <w:p w14:paraId="7D257C9A">
            <w:pPr>
              <w:overflowPunct w:val="0"/>
              <w:adjustRightInd w:val="0"/>
              <w:snapToGrid w:val="0"/>
              <w:jc w:val="left"/>
              <w:rPr>
                <w:rFonts w:eastAsia="方正仿宋_GBK"/>
                <w:color w:val="000000"/>
              </w:rPr>
            </w:pPr>
          </w:p>
        </w:tc>
        <w:tc>
          <w:tcPr>
            <w:tcW w:w="4307" w:type="dxa"/>
            <w:noWrap w:val="0"/>
            <w:vAlign w:val="center"/>
          </w:tcPr>
          <w:p w14:paraId="295F717A">
            <w:pPr>
              <w:overflowPunct w:val="0"/>
              <w:adjustRightInd w:val="0"/>
              <w:snapToGrid w:val="0"/>
              <w:spacing w:line="280" w:lineRule="exact"/>
              <w:rPr>
                <w:rFonts w:eastAsia="方正仿宋_GBK"/>
                <w:color w:val="000000"/>
              </w:rPr>
            </w:pPr>
            <w:r>
              <w:rPr>
                <w:rFonts w:eastAsia="方正仿宋_GBK"/>
                <w:color w:val="000000"/>
              </w:rPr>
              <w:t>执行能力：10分</w:t>
            </w:r>
          </w:p>
          <w:p w14:paraId="3ADFA570">
            <w:pPr>
              <w:overflowPunct w:val="0"/>
              <w:adjustRightInd w:val="0"/>
              <w:snapToGrid w:val="0"/>
              <w:spacing w:line="280" w:lineRule="exact"/>
              <w:rPr>
                <w:rFonts w:eastAsia="方正仿宋_GBK"/>
                <w:color w:val="000000"/>
              </w:rPr>
            </w:pPr>
            <w:r>
              <w:rPr>
                <w:rFonts w:eastAsia="方正仿宋_GBK"/>
                <w:color w:val="000000"/>
              </w:rPr>
              <w:t>社会组织内部管理制度健全、专职工作人员在10人以上的，得10分，社会组织内部管理制度较为健全、专职工作人员在3到10人的，得7分，专职工作人员在1到3人的，得4分，无专职工作人员此项不得分。</w:t>
            </w:r>
          </w:p>
          <w:p w14:paraId="63BD86AE">
            <w:pPr>
              <w:overflowPunct w:val="0"/>
              <w:adjustRightInd w:val="0"/>
              <w:snapToGrid w:val="0"/>
              <w:spacing w:line="280" w:lineRule="exact"/>
              <w:rPr>
                <w:rFonts w:eastAsia="方正仿宋_GBK"/>
                <w:color w:val="000000"/>
              </w:rPr>
            </w:pPr>
            <w:r>
              <w:rPr>
                <w:rFonts w:eastAsia="方正仿宋_GBK"/>
                <w:color w:val="000000"/>
              </w:rPr>
              <w:t>获得荣誉：5分</w:t>
            </w:r>
          </w:p>
          <w:p w14:paraId="02D3166E">
            <w:pPr>
              <w:overflowPunct w:val="0"/>
              <w:adjustRightInd w:val="0"/>
              <w:snapToGrid w:val="0"/>
              <w:spacing w:line="280" w:lineRule="exact"/>
              <w:rPr>
                <w:rFonts w:eastAsia="方正仿宋_GBK"/>
                <w:color w:val="000000"/>
              </w:rPr>
            </w:pPr>
            <w:r>
              <w:rPr>
                <w:rFonts w:eastAsia="方正仿宋_GBK"/>
                <w:color w:val="000000"/>
              </w:rPr>
              <w:t>社会组织在等级评估中获评3A级得1分，获评4A级得3分，获评5A级得5分。</w:t>
            </w:r>
          </w:p>
        </w:tc>
        <w:tc>
          <w:tcPr>
            <w:tcW w:w="1577" w:type="dxa"/>
            <w:vMerge w:val="continue"/>
            <w:noWrap w:val="0"/>
            <w:vAlign w:val="center"/>
          </w:tcPr>
          <w:p w14:paraId="57AE9F4F">
            <w:pPr>
              <w:overflowPunct w:val="0"/>
              <w:adjustRightInd w:val="0"/>
              <w:snapToGrid w:val="0"/>
              <w:jc w:val="left"/>
              <w:rPr>
                <w:rFonts w:eastAsia="方正仿宋_GBK"/>
                <w:color w:val="000000"/>
              </w:rPr>
            </w:pPr>
          </w:p>
        </w:tc>
      </w:tr>
    </w:tbl>
    <w:p w14:paraId="402791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C0F8C7"/>
    <w:multiLevelType w:val="singleLevel"/>
    <w:tmpl w:val="1BC0F8C7"/>
    <w:lvl w:ilvl="0" w:tentative="0">
      <w:start w:val="1"/>
      <w:numFmt w:val="decimal"/>
      <w:pStyle w:val="2"/>
      <w:lvlText w:val="(%1)"/>
      <w:lvlJc w:val="left"/>
      <w:pPr>
        <w:ind w:left="851"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OThjMGRiOWFlNTE2ZGFmMzkzZTQxMzNhOWRmNGUifQ=="/>
  </w:docVars>
  <w:rsids>
    <w:rsidRoot w:val="2920323A"/>
    <w:rsid w:val="2920323A"/>
    <w:rsid w:val="42864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qFormat/>
    <w:uiPriority w:val="9"/>
    <w:pPr>
      <w:keepNext/>
      <w:keepLines/>
      <w:numPr>
        <w:ilvl w:val="0"/>
        <w:numId w:val="1"/>
      </w:numPr>
      <w:spacing w:line="372" w:lineRule="auto"/>
      <w:outlineLvl w:val="3"/>
    </w:pPr>
    <w:rPr>
      <w:rFonts w:ascii="Arial" w:hAnsi="Arial" w:eastAsia="方正仿宋_GBK"/>
      <w:b/>
      <w:sz w:val="32"/>
      <w:szCs w:val="2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customStyle="1" w:styleId="6">
    <w:name w:val="15"/>
    <w:basedOn w:val="5"/>
    <w:qFormat/>
    <w:uiPriority w:val="0"/>
    <w:rPr>
      <w:rFonts w:hint="default" w:ascii="Calibri" w:hAnsi="Calibri" w:cs="Calibri"/>
      <w:b/>
      <w:bCs/>
    </w:rPr>
  </w:style>
  <w:style w:type="paragraph" w:customStyle="1" w:styleId="7">
    <w:name w:val="图例"/>
    <w:basedOn w:val="1"/>
    <w:qFormat/>
    <w:uiPriority w:val="0"/>
    <w:pPr>
      <w:spacing w:before="120" w:after="120" w:line="360" w:lineRule="auto"/>
      <w:jc w:val="center"/>
    </w:pPr>
    <w:rPr>
      <w:rFonts w:ascii="Calibri" w:hAnsi="Calibri" w:eastAsia="仿宋_GB2312" w:cs="Times New Roman"/>
      <w:b/>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2550</Words>
  <Characters>2611</Characters>
  <Lines>0</Lines>
  <Paragraphs>0</Paragraphs>
  <TotalTime>0</TotalTime>
  <ScaleCrop>false</ScaleCrop>
  <LinksUpToDate>false</LinksUpToDate>
  <CharactersWithSpaces>2611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2024-06-14T08:06:00Z</dcterms:created>
  <dc:creator>木马</dc:creator>
  <cp:lastModifiedBy>木马</cp:lastModifiedBy>
  <dcterms:modified xsi:type="dcterms:W3CDTF">2025-08-12T00:55:20Z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3B491B2661354D809CBFCBA28A8E4BF4_11</vt:lpwstr>
  </property>
  <property fmtid="{D5CDD505-2E9C-101B-9397-08002B2CF9AE}" pid="4" name="KSOTemplateDocerSaveRecord">
    <vt:lpwstr>eyJoZGlkIjoiOTc3M2Y5NzIzMDFlZjAyY2Q4Njk5ODkyYjFjNzBiNTQiLCJ1c2VySWQiOiIyMDM2NjQwMzgifQ==</vt:lpwstr>
  </property>
</Properties>
</file>