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0FEB3F">
      <w:pPr>
        <w:overflowPunct w:val="0"/>
        <w:adjustRightInd w:val="0"/>
        <w:snapToGrid w:val="0"/>
        <w:spacing w:line="550" w:lineRule="exact"/>
        <w:jc w:val="center"/>
        <w:rPr>
          <w:rFonts w:hint="eastAsia" w:ascii="方正小标宋_GBK" w:eastAsia="方正小标宋_GBK"/>
          <w:sz w:val="44"/>
          <w:szCs w:val="44"/>
        </w:rPr>
      </w:pPr>
    </w:p>
    <w:p w14:paraId="15EDAF79">
      <w:pPr>
        <w:overflowPunct w:val="0"/>
        <w:adjustRightInd w:val="0"/>
        <w:snapToGrid w:val="0"/>
        <w:spacing w:line="550" w:lineRule="exact"/>
        <w:jc w:val="center"/>
        <w:rPr>
          <w:rFonts w:hint="eastAsia" w:ascii="方正小标宋_GBK" w:eastAsia="方正小标宋_GBK"/>
          <w:sz w:val="44"/>
          <w:szCs w:val="44"/>
        </w:rPr>
      </w:pPr>
    </w:p>
    <w:p w14:paraId="1F39513D">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eastAsia" w:ascii="方正小标宋_GBK" w:eastAsia="方正小标宋_GBK"/>
          <w:sz w:val="44"/>
          <w:szCs w:val="44"/>
        </w:rPr>
      </w:pPr>
      <w:r>
        <w:rPr>
          <w:rFonts w:hint="eastAsia" w:ascii="方正小标宋_GBK" w:eastAsia="方正小标宋_GBK"/>
          <w:sz w:val="44"/>
          <w:szCs w:val="44"/>
        </w:rPr>
        <w:t>重庆市民政局</w:t>
      </w:r>
    </w:p>
    <w:p w14:paraId="28A49757">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eastAsia" w:ascii="方正小标宋_GBK" w:eastAsia="方正小标宋_GBK"/>
          <w:sz w:val="44"/>
          <w:szCs w:val="44"/>
        </w:rPr>
      </w:pPr>
      <w:r>
        <w:rPr>
          <w:rFonts w:hint="eastAsia" w:ascii="方正小标宋_GBK" w:eastAsia="方正小标宋_GBK"/>
          <w:sz w:val="44"/>
          <w:szCs w:val="44"/>
        </w:rPr>
        <w:t>中共重庆市委政法委员会</w:t>
      </w:r>
    </w:p>
    <w:p w14:paraId="4AB8EFD7">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eastAsia" w:ascii="方正小标宋_GBK" w:eastAsia="方正小标宋_GBK"/>
          <w:sz w:val="44"/>
          <w:szCs w:val="44"/>
        </w:rPr>
      </w:pPr>
      <w:r>
        <w:rPr>
          <w:rFonts w:hint="eastAsia" w:ascii="方正小标宋_GBK" w:eastAsia="方正小标宋_GBK"/>
          <w:sz w:val="44"/>
          <w:szCs w:val="44"/>
        </w:rPr>
        <w:t>重庆市民族宗教事务委员会</w:t>
      </w:r>
    </w:p>
    <w:p w14:paraId="59D1AC85">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eastAsia" w:ascii="方正小标宋_GBK" w:eastAsia="方正小标宋_GBK"/>
          <w:sz w:val="44"/>
          <w:szCs w:val="44"/>
        </w:rPr>
      </w:pPr>
      <w:r>
        <w:rPr>
          <w:rFonts w:hint="eastAsia" w:ascii="方正小标宋_GBK" w:eastAsia="方正小标宋_GBK"/>
          <w:sz w:val="44"/>
          <w:szCs w:val="44"/>
        </w:rPr>
        <w:t>重庆市公安局</w:t>
      </w:r>
    </w:p>
    <w:p w14:paraId="12DEB7DF">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eastAsia" w:ascii="方正小标宋_GBK" w:eastAsia="方正小标宋_GBK"/>
          <w:sz w:val="44"/>
          <w:szCs w:val="44"/>
        </w:rPr>
      </w:pPr>
      <w:r>
        <w:rPr>
          <w:rFonts w:hint="eastAsia" w:ascii="方正小标宋_GBK" w:eastAsia="方正小标宋_GBK"/>
          <w:sz w:val="44"/>
          <w:szCs w:val="44"/>
        </w:rPr>
        <w:t>重庆市卫生健康委员会</w:t>
      </w:r>
    </w:p>
    <w:p w14:paraId="378A0CC8">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eastAsia" w:ascii="方正小标宋_GBK" w:eastAsia="方正小标宋_GBK"/>
          <w:sz w:val="44"/>
          <w:szCs w:val="44"/>
        </w:rPr>
      </w:pPr>
      <w:r>
        <w:rPr>
          <w:rFonts w:hint="eastAsia" w:ascii="方正小标宋_GBK" w:eastAsia="方正小标宋_GBK"/>
          <w:sz w:val="44"/>
          <w:szCs w:val="44"/>
        </w:rPr>
        <w:t>重庆市城市管理局</w:t>
      </w:r>
    </w:p>
    <w:p w14:paraId="317694AC">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eastAsia" w:ascii="方正小标宋_GBK" w:eastAsia="方正小标宋_GBK"/>
          <w:sz w:val="44"/>
          <w:szCs w:val="44"/>
        </w:rPr>
      </w:pPr>
      <w:r>
        <w:rPr>
          <w:rFonts w:hint="eastAsia" w:ascii="方正小标宋_GBK" w:eastAsia="方正小标宋_GBK"/>
          <w:sz w:val="44"/>
          <w:szCs w:val="44"/>
        </w:rPr>
        <w:t>重庆市规划和自然资源局</w:t>
      </w:r>
    </w:p>
    <w:p w14:paraId="22F14850">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eastAsia" w:ascii="方正小标宋_GBK" w:eastAsia="方正小标宋_GBK"/>
          <w:sz w:val="44"/>
          <w:szCs w:val="44"/>
        </w:rPr>
      </w:pPr>
      <w:r>
        <w:rPr>
          <w:rFonts w:hint="eastAsia" w:ascii="方正小标宋_GBK" w:eastAsia="方正小标宋_GBK"/>
          <w:sz w:val="44"/>
          <w:szCs w:val="44"/>
        </w:rPr>
        <w:t>重庆住房和城乡建设委员会</w:t>
      </w:r>
    </w:p>
    <w:p w14:paraId="44625A09">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eastAsia" w:ascii="方正小标宋_GBK" w:eastAsia="方正小标宋_GBK"/>
          <w:sz w:val="44"/>
          <w:szCs w:val="44"/>
        </w:rPr>
      </w:pPr>
      <w:r>
        <w:rPr>
          <w:rFonts w:hint="eastAsia" w:ascii="方正小标宋_GBK" w:eastAsia="方正小标宋_GBK"/>
          <w:sz w:val="44"/>
          <w:szCs w:val="44"/>
        </w:rPr>
        <w:t>重庆市应急管理局</w:t>
      </w:r>
    </w:p>
    <w:p w14:paraId="50A6FE48">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eastAsia" w:ascii="方正小标宋_GBK" w:eastAsia="方正小标宋_GBK"/>
          <w:sz w:val="44"/>
          <w:szCs w:val="44"/>
        </w:rPr>
      </w:pPr>
      <w:r>
        <w:rPr>
          <w:rFonts w:hint="eastAsia" w:ascii="方正小标宋_GBK" w:eastAsia="方正小标宋_GBK"/>
          <w:sz w:val="44"/>
          <w:szCs w:val="44"/>
        </w:rPr>
        <w:t>重庆市气象局</w:t>
      </w:r>
    </w:p>
    <w:p w14:paraId="5211E4AA">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eastAsia" w:ascii="方正小标宋_GBK" w:eastAsia="方正小标宋_GBK"/>
          <w:sz w:val="44"/>
          <w:szCs w:val="44"/>
        </w:rPr>
      </w:pPr>
      <w:r>
        <w:rPr>
          <w:rFonts w:hint="eastAsia" w:ascii="方正小标宋_GBK" w:eastAsia="方正小标宋_GBK"/>
          <w:sz w:val="44"/>
          <w:szCs w:val="44"/>
        </w:rPr>
        <w:t>关于印发《基层群众性自治组织依法协助政府工作事项细化清单》的通知</w:t>
      </w:r>
    </w:p>
    <w:p w14:paraId="2806A3FC">
      <w:pPr>
        <w:widowControl/>
        <w:snapToGrid w:val="0"/>
        <w:spacing w:line="579" w:lineRule="exact"/>
        <w:jc w:val="center"/>
        <w:rPr>
          <w:szCs w:val="32"/>
        </w:rPr>
      </w:pPr>
      <w:r>
        <w:rPr>
          <w:szCs w:val="32"/>
        </w:rPr>
        <w:t>渝民</w:t>
      </w:r>
      <w:r>
        <w:rPr>
          <w:rFonts w:hint="eastAsia"/>
          <w:szCs w:val="32"/>
        </w:rPr>
        <w:t>发</w:t>
      </w:r>
      <w:r>
        <w:rPr>
          <w:szCs w:val="32"/>
        </w:rPr>
        <w:t>〔20</w:t>
      </w:r>
      <w:r>
        <w:rPr>
          <w:rFonts w:hint="eastAsia"/>
          <w:szCs w:val="32"/>
        </w:rPr>
        <w:t>21</w:t>
      </w:r>
      <w:r>
        <w:rPr>
          <w:szCs w:val="32"/>
        </w:rPr>
        <w:t>〕</w:t>
      </w:r>
      <w:r>
        <w:rPr>
          <w:rFonts w:hint="eastAsia"/>
          <w:szCs w:val="32"/>
        </w:rPr>
        <w:t>6</w:t>
      </w:r>
      <w:r>
        <w:rPr>
          <w:szCs w:val="32"/>
        </w:rPr>
        <w:t>号</w:t>
      </w:r>
    </w:p>
    <w:p w14:paraId="0C60D299">
      <w:pPr>
        <w:adjustRightInd w:val="0"/>
        <w:snapToGrid w:val="0"/>
        <w:spacing w:line="550" w:lineRule="exact"/>
      </w:pPr>
    </w:p>
    <w:p w14:paraId="7BF247DD">
      <w:pPr>
        <w:pageBreakBefore w:val="0"/>
        <w:widowControl w:val="0"/>
        <w:kinsoku/>
        <w:overflowPunct w:val="0"/>
        <w:topLinePunct w:val="0"/>
        <w:autoSpaceDE/>
        <w:autoSpaceDN/>
        <w:bidi w:val="0"/>
        <w:adjustRightInd w:val="0"/>
        <w:snapToGrid w:val="0"/>
        <w:spacing w:line="600" w:lineRule="exact"/>
        <w:ind w:left="0" w:leftChars="0" w:right="0" w:rightChars="0"/>
        <w:textAlignment w:val="auto"/>
        <w:rPr>
          <w:rFonts w:hint="eastAsia"/>
        </w:rPr>
      </w:pPr>
      <w:r>
        <w:t>各区县（自治县）民政局、政法委、民族宗教委、公安局、城管局、卫生健康委、规划自然资源局、住房城乡建委、应急管理局、气象局，两江新区、重庆高新区、万盛经开区相关部门，有关单位：</w:t>
      </w:r>
    </w:p>
    <w:p w14:paraId="76D3B0C6">
      <w:pPr>
        <w:pageBreakBefore w:val="0"/>
        <w:widowControl w:val="0"/>
        <w:kinsoku/>
        <w:overflowPunct w:val="0"/>
        <w:topLinePunct w:val="0"/>
        <w:autoSpaceDE/>
        <w:autoSpaceDN/>
        <w:bidi w:val="0"/>
        <w:adjustRightInd w:val="0"/>
        <w:snapToGrid w:val="0"/>
        <w:spacing w:line="600" w:lineRule="exact"/>
        <w:ind w:left="0" w:leftChars="0" w:right="0" w:rightChars="0" w:firstLine="640" w:firstLineChars="200"/>
        <w:textAlignment w:val="auto"/>
      </w:pPr>
      <w:r>
        <w:t>为深入贯彻党中央、国务院和市委、市政府关于推进基层减负的有关精神，切实抓好市政府办公厅《关于进一步明确基层群众性自治组织依法自治及协助政府工作事项的通知》（渝府办发〔2019〕23号）落地实施，进一步厘清乡镇人民政府（街道办事处）和基层群众性自治组织权责边界，推动村（社区）减负增效，经征求市级各部门意见，形成《基层群众性自治组织依法协助政府工作事项细化清单》。现印发给你们，并就有关事项通知如下：</w:t>
      </w:r>
    </w:p>
    <w:p w14:paraId="68B927A0">
      <w:pPr>
        <w:pageBreakBefore w:val="0"/>
        <w:widowControl w:val="0"/>
        <w:kinsoku/>
        <w:overflowPunct w:val="0"/>
        <w:topLinePunct w:val="0"/>
        <w:autoSpaceDE/>
        <w:autoSpaceDN/>
        <w:bidi w:val="0"/>
        <w:adjustRightInd w:val="0"/>
        <w:snapToGrid w:val="0"/>
        <w:spacing w:line="600" w:lineRule="exact"/>
        <w:ind w:left="0" w:leftChars="0" w:right="0" w:rightChars="0" w:firstLine="640" w:firstLineChars="200"/>
        <w:textAlignment w:val="auto"/>
      </w:pPr>
      <w:r>
        <w:rPr>
          <w:rFonts w:hint="eastAsia" w:ascii="方正黑体_GBK" w:eastAsia="方正黑体_GBK"/>
        </w:rPr>
        <w:t>一、严格实行清单管理。</w:t>
      </w:r>
      <w:r>
        <w:t>各区县要严格落实《基层群众性自治组织依法协助政府工作事项细化清单》，进一步清理延伸到村（社区）的工作事项，对清单之外的事项，不得以行政命令方式要求基层群众性自治组织办理，基层群众性自治组织也有权拒绝。对确需延伸到村（社区）、但未纳入协助清单的工作事项，可通过政府购买方式，向基层群众性自治组织或社会力量购买服务完成。</w:t>
      </w:r>
    </w:p>
    <w:p w14:paraId="2E3C6428">
      <w:pPr>
        <w:pageBreakBefore w:val="0"/>
        <w:widowControl w:val="0"/>
        <w:kinsoku/>
        <w:overflowPunct w:val="0"/>
        <w:topLinePunct w:val="0"/>
        <w:autoSpaceDE/>
        <w:autoSpaceDN/>
        <w:bidi w:val="0"/>
        <w:adjustRightInd w:val="0"/>
        <w:snapToGrid w:val="0"/>
        <w:spacing w:line="600" w:lineRule="exact"/>
        <w:ind w:left="0" w:leftChars="0" w:right="0" w:rightChars="0" w:firstLine="640" w:firstLineChars="200"/>
        <w:textAlignment w:val="auto"/>
      </w:pPr>
      <w:r>
        <w:rPr>
          <w:rFonts w:ascii="方正黑体_GBK" w:eastAsia="方正黑体_GBK"/>
        </w:rPr>
        <w:t>二、全面落</w:t>
      </w:r>
      <w:r>
        <w:rPr>
          <w:rFonts w:hint="eastAsia" w:ascii="方正黑体_GBK" w:eastAsia="方正黑体_GBK"/>
        </w:rPr>
        <w:t>实“权随责走、费随事转”。</w:t>
      </w:r>
      <w:r>
        <w:t>各级政府及相关部门要切实履行主体责任，按照“权随责走、费随事转”原则，对政府部门向基层群众性自治组织购买服务或基层群众性自治组织依法协助政府的工作事项，积极创造条件，在做法上给予指导，在经费上给予保障，在社区工作人员补贴上给予落实，切实保障基层群众自治权利。</w:t>
      </w:r>
    </w:p>
    <w:p w14:paraId="58DC66B0">
      <w:pPr>
        <w:pageBreakBefore w:val="0"/>
        <w:widowControl w:val="0"/>
        <w:kinsoku/>
        <w:overflowPunct w:val="0"/>
        <w:topLinePunct w:val="0"/>
        <w:autoSpaceDE/>
        <w:autoSpaceDN/>
        <w:bidi w:val="0"/>
        <w:adjustRightInd w:val="0"/>
        <w:snapToGrid w:val="0"/>
        <w:spacing w:line="600" w:lineRule="exact"/>
        <w:ind w:left="0" w:leftChars="0" w:right="0" w:rightChars="0" w:firstLine="640" w:firstLineChars="200"/>
        <w:textAlignment w:val="auto"/>
      </w:pPr>
      <w:r>
        <w:rPr>
          <w:rFonts w:ascii="方正黑体_GBK" w:eastAsia="方正黑体_GBK"/>
        </w:rPr>
        <w:t>三、切实发挥基层组织自治能力。</w:t>
      </w:r>
      <w:r>
        <w:t>健全基层党组织领导下的基层群众自治机制，对基层群众性自治组织依法自治事项，要依法组织群众开展以自我管理、自我教育、自我服务、自我监督为主要内容的基层自治实践，切实发挥基层群众自治组织在城乡社区治理中的基础作用。对基层群众性自治组织协助政府工作事项，要依法依规做好工作，确保服务规范、精细、高效。</w:t>
      </w:r>
    </w:p>
    <w:p w14:paraId="4F13FD15">
      <w:pPr>
        <w:pageBreakBefore w:val="0"/>
        <w:widowControl w:val="0"/>
        <w:kinsoku/>
        <w:overflowPunct w:val="0"/>
        <w:topLinePunct w:val="0"/>
        <w:autoSpaceDE/>
        <w:autoSpaceDN/>
        <w:bidi w:val="0"/>
        <w:adjustRightInd w:val="0"/>
        <w:snapToGrid w:val="0"/>
        <w:spacing w:line="600" w:lineRule="exact"/>
        <w:ind w:left="0" w:leftChars="0" w:right="0" w:rightChars="0" w:firstLine="640" w:firstLineChars="200"/>
        <w:textAlignment w:val="auto"/>
      </w:pPr>
      <w:r>
        <w:rPr>
          <w:rFonts w:ascii="方正黑体_GBK" w:eastAsia="方正黑体_GBK"/>
        </w:rPr>
        <w:t>四、进一步强化责任落实。</w:t>
      </w:r>
      <w:r>
        <w:t>各区县要提高政治站位，切实增强持续开展城乡社区减负工作的责任感和紧迫感，加强组织领导，严格责任落实，确保基层群众性自治组织依法协助政府工作事项规范到位、执行到位。各区县、相关部门和单位要加强行业指导，组织相关业务办理人员和村（社区）工作人员开展专题培训，做好政策宣传解读工作，对基层反映比较突出的问题，要及时进行调查处理，推动工作顺利开展。要加强督促检查，通过调查走访、电话举报等方式，对工作落实、问题整改等开展定期检查和随机抽查，对反映违规要求基层群众性自治组织办理自治事项及协助事项之外工作的，经查证属实的要督促限期整改并追究相关责任。</w:t>
      </w:r>
    </w:p>
    <w:p w14:paraId="1A723283">
      <w:pPr>
        <w:pageBreakBefore w:val="0"/>
        <w:widowControl w:val="0"/>
        <w:kinsoku/>
        <w:overflowPunct w:val="0"/>
        <w:topLinePunct w:val="0"/>
        <w:autoSpaceDE/>
        <w:autoSpaceDN/>
        <w:bidi w:val="0"/>
        <w:adjustRightInd w:val="0"/>
        <w:snapToGrid w:val="0"/>
        <w:spacing w:line="600" w:lineRule="exact"/>
        <w:ind w:left="0" w:leftChars="0" w:right="0" w:rightChars="0"/>
        <w:textAlignment w:val="auto"/>
      </w:pPr>
    </w:p>
    <w:p w14:paraId="143C06D8">
      <w:pPr>
        <w:pageBreakBefore w:val="0"/>
        <w:widowControl w:val="0"/>
        <w:kinsoku/>
        <w:overflowPunct w:val="0"/>
        <w:topLinePunct w:val="0"/>
        <w:autoSpaceDE/>
        <w:autoSpaceDN/>
        <w:bidi w:val="0"/>
        <w:adjustRightInd w:val="0"/>
        <w:snapToGrid w:val="0"/>
        <w:spacing w:line="600" w:lineRule="exact"/>
        <w:ind w:left="0" w:leftChars="0" w:right="0" w:rightChars="0"/>
        <w:textAlignment w:val="auto"/>
      </w:pPr>
      <w:r>
        <w:rPr>
          <w:rFonts w:hint="eastAsia"/>
        </w:rPr>
        <w:t xml:space="preserve">    </w:t>
      </w:r>
      <w:r>
        <w:t>附件：基层群众性自治组织依法协助政府工作事项细化清单</w:t>
      </w:r>
    </w:p>
    <w:p w14:paraId="6F1C60A4">
      <w:pPr>
        <w:pageBreakBefore w:val="0"/>
        <w:widowControl w:val="0"/>
        <w:kinsoku/>
        <w:topLinePunct w:val="0"/>
        <w:autoSpaceDE/>
        <w:autoSpaceDN/>
        <w:bidi w:val="0"/>
        <w:adjustRightInd w:val="0"/>
        <w:snapToGrid w:val="0"/>
        <w:spacing w:line="600" w:lineRule="exact"/>
        <w:ind w:left="0" w:leftChars="0" w:right="0" w:rightChars="0"/>
        <w:textAlignment w:val="auto"/>
        <w:rPr>
          <w:rFonts w:hint="eastAsia" w:ascii="方正仿宋_GBK"/>
        </w:rPr>
      </w:pPr>
    </w:p>
    <w:p w14:paraId="585C896B">
      <w:pPr>
        <w:pStyle w:val="2"/>
        <w:pageBreakBefore w:val="0"/>
        <w:widowControl w:val="0"/>
        <w:kinsoku/>
        <w:topLinePunct w:val="0"/>
        <w:autoSpaceDE/>
        <w:autoSpaceDN/>
        <w:bidi w:val="0"/>
        <w:spacing w:before="0" w:after="0" w:line="600" w:lineRule="exact"/>
        <w:ind w:left="0" w:leftChars="0" w:right="0" w:rightChars="0"/>
        <w:textAlignment w:val="auto"/>
        <w:rPr>
          <w:rFonts w:hint="eastAsia"/>
        </w:rPr>
      </w:pPr>
    </w:p>
    <w:p w14:paraId="066D47DB">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eastAsia" w:ascii="方正仿宋_GBK"/>
        </w:rPr>
      </w:pPr>
      <w:r>
        <w:rPr>
          <w:rFonts w:hint="eastAsia" w:ascii="方正仿宋_GBK"/>
        </w:rPr>
        <w:t>重庆市民政局</w:t>
      </w:r>
      <w:r>
        <w:rPr>
          <w:rFonts w:hint="eastAsia" w:ascii="方正仿宋_GBK"/>
          <w:lang w:val="en-US" w:eastAsia="zh-CN"/>
        </w:rPr>
        <w:t xml:space="preserve">       </w:t>
      </w:r>
    </w:p>
    <w:p w14:paraId="3C9CB998">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eastAsia" w:ascii="方正仿宋_GBK"/>
        </w:rPr>
      </w:pPr>
      <w:r>
        <w:rPr>
          <w:rFonts w:hint="eastAsia" w:ascii="方正仿宋_GBK"/>
        </w:rPr>
        <w:t>中共重庆市委政法委员会</w:t>
      </w:r>
      <w:r>
        <w:rPr>
          <w:rFonts w:hint="eastAsia" w:ascii="方正仿宋_GBK"/>
          <w:lang w:val="en-US" w:eastAsia="zh-CN"/>
        </w:rPr>
        <w:t xml:space="preserve">   </w:t>
      </w:r>
    </w:p>
    <w:p w14:paraId="40B2CF3E">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eastAsia" w:ascii="方正仿宋_GBK"/>
        </w:rPr>
      </w:pPr>
      <w:r>
        <w:rPr>
          <w:rFonts w:hint="eastAsia" w:ascii="方正仿宋_GBK"/>
        </w:rPr>
        <w:t>重庆市民族宗教事务委员会</w:t>
      </w:r>
      <w:r>
        <w:rPr>
          <w:rFonts w:hint="eastAsia" w:ascii="方正仿宋_GBK"/>
          <w:lang w:val="en-US" w:eastAsia="zh-CN"/>
        </w:rPr>
        <w:t xml:space="preserve">  </w:t>
      </w:r>
    </w:p>
    <w:p w14:paraId="125644D4">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eastAsia" w:ascii="方正仿宋_GBK"/>
        </w:rPr>
      </w:pPr>
      <w:r>
        <w:rPr>
          <w:rFonts w:hint="eastAsia" w:ascii="方正仿宋_GBK"/>
        </w:rPr>
        <w:t>重庆市公安局</w:t>
      </w:r>
      <w:r>
        <w:rPr>
          <w:rFonts w:hint="eastAsia" w:ascii="方正仿宋_GBK"/>
          <w:lang w:val="en-US" w:eastAsia="zh-CN"/>
        </w:rPr>
        <w:t xml:space="preserve">       </w:t>
      </w:r>
    </w:p>
    <w:p w14:paraId="2060B474">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eastAsia" w:ascii="方正仿宋_GBK"/>
        </w:rPr>
      </w:pPr>
      <w:r>
        <w:rPr>
          <w:rFonts w:hint="eastAsia" w:ascii="方正仿宋_GBK"/>
        </w:rPr>
        <w:t>重庆市卫生健康委员会</w:t>
      </w:r>
      <w:r>
        <w:rPr>
          <w:rFonts w:hint="eastAsia" w:ascii="方正仿宋_GBK"/>
          <w:lang w:val="en-US" w:eastAsia="zh-CN"/>
        </w:rPr>
        <w:t xml:space="preserve">    </w:t>
      </w:r>
    </w:p>
    <w:p w14:paraId="00E275B1">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eastAsia" w:ascii="方正仿宋_GBK"/>
        </w:rPr>
      </w:pPr>
      <w:r>
        <w:rPr>
          <w:rFonts w:hint="eastAsia" w:ascii="方正仿宋_GBK"/>
        </w:rPr>
        <w:t>重庆市城市管理局</w:t>
      </w:r>
      <w:r>
        <w:rPr>
          <w:rFonts w:hint="eastAsia" w:ascii="方正仿宋_GBK"/>
          <w:lang w:val="en-US" w:eastAsia="zh-CN"/>
        </w:rPr>
        <w:t xml:space="preserve">     </w:t>
      </w:r>
    </w:p>
    <w:p w14:paraId="4A647799">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eastAsia" w:ascii="方正仿宋_GBK"/>
        </w:rPr>
      </w:pPr>
      <w:r>
        <w:rPr>
          <w:rFonts w:hint="eastAsia" w:ascii="方正仿宋_GBK"/>
        </w:rPr>
        <w:t>重庆市规划和自然资源局</w:t>
      </w:r>
      <w:r>
        <w:rPr>
          <w:rFonts w:hint="eastAsia" w:ascii="方正仿宋_GBK"/>
          <w:lang w:val="en-US" w:eastAsia="zh-CN"/>
        </w:rPr>
        <w:t xml:space="preserve">   </w:t>
      </w:r>
    </w:p>
    <w:p w14:paraId="57069B9E">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eastAsia" w:ascii="方正仿宋_GBK"/>
        </w:rPr>
      </w:pPr>
      <w:r>
        <w:rPr>
          <w:rFonts w:hint="eastAsia" w:ascii="方正仿宋_GBK"/>
        </w:rPr>
        <w:t>重庆住房和城乡建设委员会</w:t>
      </w:r>
      <w:r>
        <w:rPr>
          <w:rFonts w:hint="eastAsia" w:ascii="方正仿宋_GBK"/>
          <w:lang w:val="en-US" w:eastAsia="zh-CN"/>
        </w:rPr>
        <w:t xml:space="preserve">  </w:t>
      </w:r>
    </w:p>
    <w:p w14:paraId="4621C90D">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eastAsia" w:ascii="方正仿宋_GBK"/>
        </w:rPr>
      </w:pPr>
      <w:r>
        <w:rPr>
          <w:rFonts w:hint="eastAsia" w:ascii="方正仿宋_GBK"/>
        </w:rPr>
        <w:t>重庆市应急管理局</w:t>
      </w:r>
      <w:r>
        <w:rPr>
          <w:rFonts w:hint="eastAsia" w:ascii="方正仿宋_GBK"/>
          <w:lang w:val="en-US" w:eastAsia="zh-CN"/>
        </w:rPr>
        <w:t xml:space="preserve">     </w:t>
      </w:r>
    </w:p>
    <w:p w14:paraId="5E2358CE">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eastAsia" w:ascii="方正仿宋_GBK"/>
        </w:rPr>
      </w:pPr>
      <w:r>
        <w:rPr>
          <w:rFonts w:hint="eastAsia" w:ascii="方正仿宋_GBK"/>
        </w:rPr>
        <w:t>重庆市气象局</w:t>
      </w:r>
      <w:r>
        <w:rPr>
          <w:rFonts w:hint="eastAsia" w:ascii="方正仿宋_GBK"/>
          <w:lang w:val="en-US" w:eastAsia="zh-CN"/>
        </w:rPr>
        <w:t xml:space="preserve">       </w:t>
      </w:r>
    </w:p>
    <w:p w14:paraId="7BA1F7E5">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t>2021年</w:t>
      </w:r>
      <w:r>
        <w:rPr>
          <w:rFonts w:hint="eastAsia"/>
        </w:rPr>
        <w:t>2</w:t>
      </w:r>
      <w:r>
        <w:t>月</w:t>
      </w:r>
      <w:r>
        <w:rPr>
          <w:rFonts w:hint="eastAsia"/>
        </w:rPr>
        <w:t>10</w:t>
      </w:r>
      <w:r>
        <w:rPr>
          <w:rFonts w:hint="eastAsia" w:ascii="方正仿宋_GBK"/>
        </w:rPr>
        <w:t>日</w:t>
      </w:r>
      <w:r>
        <w:rPr>
          <w:rFonts w:hint="eastAsia" w:ascii="方正仿宋_GBK"/>
          <w:lang w:val="en-US" w:eastAsia="zh-CN"/>
        </w:rPr>
        <w:t xml:space="preserve">     </w:t>
      </w:r>
    </w:p>
    <w:p w14:paraId="06DB559D">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5F9D12D2">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6AF63134">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7B4D270C">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025C90F2">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3059D0BA">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571DF434">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34820B47">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0D6F9448">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14:paraId="7F4840AD">
      <w:pPr>
        <w:adjustRightInd w:val="0"/>
        <w:spacing w:line="579" w:lineRule="exact"/>
        <w:jc w:val="left"/>
        <w:rPr>
          <w:rStyle w:val="11"/>
          <w:rFonts w:ascii="方正黑体_GBK" w:hAnsi="方正黑体_GBK" w:eastAsia="方正黑体_GBK" w:cs="方正黑体_GBK"/>
          <w:color w:val="auto"/>
          <w:szCs w:val="32"/>
          <w:u w:val="none"/>
        </w:rPr>
      </w:pPr>
      <w:r>
        <w:rPr>
          <w:rStyle w:val="11"/>
          <w:rFonts w:hint="eastAsia" w:ascii="方正黑体_GBK" w:hAnsi="方正黑体_GBK" w:eastAsia="方正黑体_GBK" w:cs="方正黑体_GBK"/>
          <w:color w:val="auto"/>
          <w:szCs w:val="32"/>
          <w:u w:val="none"/>
        </w:rPr>
        <w:t>附件</w:t>
      </w:r>
    </w:p>
    <w:p w14:paraId="6F906441">
      <w:pPr>
        <w:adjustRightInd w:val="0"/>
        <w:spacing w:line="579" w:lineRule="exact"/>
        <w:jc w:val="center"/>
        <w:rPr>
          <w:rStyle w:val="11"/>
          <w:rFonts w:ascii="方正小标宋_GBK" w:hAnsi="方正小标宋_GBK" w:eastAsia="方正小标宋_GBK" w:cs="方正小标宋_GBK"/>
          <w:color w:val="auto"/>
          <w:sz w:val="44"/>
          <w:szCs w:val="44"/>
          <w:u w:val="none"/>
        </w:rPr>
      </w:pPr>
      <w:r>
        <w:rPr>
          <w:rStyle w:val="11"/>
          <w:rFonts w:hint="eastAsia" w:ascii="方正小标宋_GBK" w:hAnsi="方正小标宋_GBK" w:eastAsia="方正小标宋_GBK" w:cs="方正小标宋_GBK"/>
          <w:color w:val="auto"/>
          <w:sz w:val="44"/>
          <w:szCs w:val="44"/>
          <w:u w:val="none"/>
        </w:rPr>
        <w:t>基层群众性自治组织依法协助政府工作事项细化清单</w:t>
      </w:r>
    </w:p>
    <w:tbl>
      <w:tblPr>
        <w:tblStyle w:val="8"/>
        <w:tblW w:w="14760" w:type="dxa"/>
        <w:jc w:val="center"/>
        <w:tblLayout w:type="fixed"/>
        <w:tblCellMar>
          <w:top w:w="15" w:type="dxa"/>
          <w:left w:w="15" w:type="dxa"/>
          <w:bottom w:w="15" w:type="dxa"/>
          <w:right w:w="15" w:type="dxa"/>
        </w:tblCellMar>
      </w:tblPr>
      <w:tblGrid>
        <w:gridCol w:w="808"/>
        <w:gridCol w:w="1314"/>
        <w:gridCol w:w="1802"/>
        <w:gridCol w:w="7846"/>
        <w:gridCol w:w="1404"/>
        <w:gridCol w:w="900"/>
        <w:gridCol w:w="686"/>
      </w:tblGrid>
      <w:tr w14:paraId="290B6B46">
        <w:tblPrEx>
          <w:tblCellMar>
            <w:top w:w="15" w:type="dxa"/>
            <w:left w:w="15" w:type="dxa"/>
            <w:bottom w:w="15" w:type="dxa"/>
            <w:right w:w="15" w:type="dxa"/>
          </w:tblCellMar>
        </w:tblPrEx>
        <w:trPr>
          <w:trHeight w:val="507" w:hRule="atLeast"/>
          <w:tblHeader/>
          <w:jc w:val="center"/>
        </w:trPr>
        <w:tc>
          <w:tcPr>
            <w:tcW w:w="808" w:type="dxa"/>
            <w:vMerge w:val="restart"/>
            <w:tcBorders>
              <w:top w:val="single" w:color="auto" w:sz="4" w:space="0"/>
              <w:left w:val="single" w:color="auto" w:sz="4" w:space="0"/>
              <w:right w:val="single" w:color="auto" w:sz="4" w:space="0"/>
            </w:tcBorders>
            <w:vAlign w:val="center"/>
          </w:tcPr>
          <w:p w14:paraId="5BA1CEEB">
            <w:pPr>
              <w:widowControl/>
              <w:jc w:val="center"/>
              <w:textAlignment w:val="center"/>
              <w:rPr>
                <w:rFonts w:eastAsia="方正黑体_GBK"/>
                <w:sz w:val="24"/>
                <w:szCs w:val="24"/>
              </w:rPr>
            </w:pPr>
            <w:r>
              <w:rPr>
                <w:rFonts w:eastAsia="方正黑体_GBK"/>
                <w:kern w:val="0"/>
                <w:sz w:val="24"/>
                <w:szCs w:val="24"/>
              </w:rPr>
              <w:t>序号</w:t>
            </w:r>
          </w:p>
        </w:tc>
        <w:tc>
          <w:tcPr>
            <w:tcW w:w="3116" w:type="dxa"/>
            <w:gridSpan w:val="2"/>
            <w:tcBorders>
              <w:top w:val="single" w:color="auto" w:sz="4" w:space="0"/>
              <w:left w:val="single" w:color="auto" w:sz="4" w:space="0"/>
              <w:bottom w:val="single" w:color="auto" w:sz="4" w:space="0"/>
              <w:right w:val="single" w:color="auto" w:sz="4" w:space="0"/>
            </w:tcBorders>
            <w:vAlign w:val="center"/>
          </w:tcPr>
          <w:p w14:paraId="72AAFCBB">
            <w:pPr>
              <w:widowControl/>
              <w:spacing w:line="320" w:lineRule="exact"/>
              <w:jc w:val="center"/>
              <w:textAlignment w:val="center"/>
              <w:rPr>
                <w:rFonts w:eastAsia="方正黑体_GBK"/>
                <w:kern w:val="0"/>
                <w:sz w:val="24"/>
                <w:szCs w:val="24"/>
              </w:rPr>
            </w:pPr>
            <w:r>
              <w:rPr>
                <w:rFonts w:hint="eastAsia" w:ascii="方正黑体_GBK" w:hAnsi="方正黑体_GBK" w:eastAsia="方正黑体_GBK" w:cs="方正黑体_GBK"/>
                <w:kern w:val="0"/>
                <w:sz w:val="24"/>
                <w:szCs w:val="24"/>
              </w:rPr>
              <w:t>渝府办发〔2019〕23号</w:t>
            </w:r>
          </w:p>
        </w:tc>
        <w:tc>
          <w:tcPr>
            <w:tcW w:w="7846" w:type="dxa"/>
            <w:vMerge w:val="restart"/>
            <w:tcBorders>
              <w:top w:val="single" w:color="auto" w:sz="4" w:space="0"/>
              <w:left w:val="single" w:color="auto" w:sz="4" w:space="0"/>
              <w:right w:val="single" w:color="auto" w:sz="4" w:space="0"/>
            </w:tcBorders>
            <w:vAlign w:val="center"/>
          </w:tcPr>
          <w:p w14:paraId="58C11695">
            <w:pPr>
              <w:widowControl/>
              <w:jc w:val="center"/>
              <w:textAlignment w:val="center"/>
              <w:rPr>
                <w:rFonts w:eastAsia="方正黑体_GBK"/>
                <w:sz w:val="24"/>
                <w:szCs w:val="24"/>
              </w:rPr>
            </w:pPr>
            <w:r>
              <w:rPr>
                <w:rFonts w:eastAsia="方正黑体_GBK"/>
                <w:kern w:val="0"/>
                <w:sz w:val="24"/>
                <w:szCs w:val="24"/>
              </w:rPr>
              <w:t>协助工作</w:t>
            </w:r>
            <w:r>
              <w:rPr>
                <w:rFonts w:hint="eastAsia" w:eastAsia="方正黑体_GBK"/>
                <w:kern w:val="0"/>
                <w:sz w:val="24"/>
                <w:szCs w:val="24"/>
              </w:rPr>
              <w:t>细化</w:t>
            </w:r>
            <w:r>
              <w:rPr>
                <w:rFonts w:eastAsia="方正黑体_GBK"/>
                <w:kern w:val="0"/>
                <w:sz w:val="24"/>
                <w:szCs w:val="24"/>
              </w:rPr>
              <w:t>事项</w:t>
            </w:r>
          </w:p>
        </w:tc>
        <w:tc>
          <w:tcPr>
            <w:tcW w:w="1404" w:type="dxa"/>
            <w:vMerge w:val="restart"/>
            <w:tcBorders>
              <w:top w:val="single" w:color="auto" w:sz="4" w:space="0"/>
              <w:left w:val="single" w:color="auto" w:sz="4" w:space="0"/>
              <w:right w:val="single" w:color="auto" w:sz="4" w:space="0"/>
            </w:tcBorders>
            <w:vAlign w:val="center"/>
          </w:tcPr>
          <w:p w14:paraId="5C29BEEC">
            <w:pPr>
              <w:widowControl/>
              <w:jc w:val="center"/>
              <w:textAlignment w:val="center"/>
              <w:rPr>
                <w:rFonts w:eastAsia="方正黑体_GBK"/>
                <w:sz w:val="24"/>
                <w:szCs w:val="24"/>
              </w:rPr>
            </w:pPr>
            <w:r>
              <w:rPr>
                <w:rFonts w:eastAsia="方正黑体_GBK"/>
                <w:kern w:val="0"/>
                <w:sz w:val="24"/>
                <w:szCs w:val="24"/>
              </w:rPr>
              <w:t>依据</w:t>
            </w:r>
          </w:p>
        </w:tc>
        <w:tc>
          <w:tcPr>
            <w:tcW w:w="900" w:type="dxa"/>
            <w:vMerge w:val="restart"/>
            <w:tcBorders>
              <w:top w:val="single" w:color="auto" w:sz="4" w:space="0"/>
              <w:left w:val="single" w:color="auto" w:sz="4" w:space="0"/>
              <w:right w:val="single" w:color="auto" w:sz="4" w:space="0"/>
            </w:tcBorders>
            <w:vAlign w:val="center"/>
          </w:tcPr>
          <w:p w14:paraId="7C25B8F0">
            <w:pPr>
              <w:widowControl/>
              <w:jc w:val="center"/>
              <w:textAlignment w:val="center"/>
              <w:rPr>
                <w:rFonts w:eastAsia="方正黑体_GBK"/>
                <w:sz w:val="24"/>
                <w:szCs w:val="24"/>
              </w:rPr>
            </w:pPr>
            <w:r>
              <w:rPr>
                <w:rFonts w:eastAsia="方正黑体_GBK"/>
                <w:kern w:val="0"/>
                <w:sz w:val="24"/>
                <w:szCs w:val="24"/>
              </w:rPr>
              <w:t>主管单位</w:t>
            </w:r>
          </w:p>
        </w:tc>
        <w:tc>
          <w:tcPr>
            <w:tcW w:w="686" w:type="dxa"/>
            <w:vMerge w:val="restart"/>
            <w:tcBorders>
              <w:top w:val="single" w:color="auto" w:sz="4" w:space="0"/>
              <w:left w:val="single" w:color="auto" w:sz="4" w:space="0"/>
              <w:right w:val="single" w:color="auto" w:sz="4" w:space="0"/>
            </w:tcBorders>
            <w:vAlign w:val="center"/>
          </w:tcPr>
          <w:p w14:paraId="656CC74C">
            <w:pPr>
              <w:widowControl/>
              <w:jc w:val="center"/>
              <w:textAlignment w:val="center"/>
              <w:rPr>
                <w:rFonts w:eastAsia="方正黑体_GBK"/>
                <w:sz w:val="24"/>
                <w:szCs w:val="24"/>
              </w:rPr>
            </w:pPr>
            <w:r>
              <w:rPr>
                <w:rFonts w:eastAsia="方正黑体_GBK"/>
                <w:kern w:val="0"/>
                <w:sz w:val="24"/>
                <w:szCs w:val="24"/>
              </w:rPr>
              <w:t>备注</w:t>
            </w:r>
          </w:p>
        </w:tc>
      </w:tr>
      <w:tr w14:paraId="6B2B38B1">
        <w:tblPrEx>
          <w:tblCellMar>
            <w:top w:w="15" w:type="dxa"/>
            <w:left w:w="15" w:type="dxa"/>
            <w:bottom w:w="15" w:type="dxa"/>
            <w:right w:w="15" w:type="dxa"/>
          </w:tblCellMar>
        </w:tblPrEx>
        <w:trPr>
          <w:trHeight w:val="915" w:hRule="atLeast"/>
          <w:tblHeader/>
          <w:jc w:val="center"/>
        </w:trPr>
        <w:tc>
          <w:tcPr>
            <w:tcW w:w="808" w:type="dxa"/>
            <w:vMerge w:val="continue"/>
            <w:tcBorders>
              <w:left w:val="single" w:color="auto" w:sz="4" w:space="0"/>
              <w:bottom w:val="single" w:color="auto" w:sz="4" w:space="0"/>
              <w:right w:val="single" w:color="auto" w:sz="4" w:space="0"/>
            </w:tcBorders>
            <w:vAlign w:val="center"/>
          </w:tcPr>
          <w:p w14:paraId="3AD9CA60">
            <w:pPr>
              <w:widowControl/>
              <w:jc w:val="center"/>
              <w:textAlignment w:val="center"/>
              <w:rPr>
                <w:rFonts w:eastAsia="方正黑体_GBK"/>
                <w:sz w:val="24"/>
                <w:szCs w:val="24"/>
              </w:rPr>
            </w:pPr>
          </w:p>
        </w:tc>
        <w:tc>
          <w:tcPr>
            <w:tcW w:w="1314" w:type="dxa"/>
            <w:tcBorders>
              <w:top w:val="single" w:color="auto" w:sz="4" w:space="0"/>
              <w:left w:val="single" w:color="auto" w:sz="4" w:space="0"/>
              <w:bottom w:val="single" w:color="auto" w:sz="4" w:space="0"/>
              <w:right w:val="single" w:color="auto" w:sz="4" w:space="0"/>
            </w:tcBorders>
            <w:vAlign w:val="center"/>
          </w:tcPr>
          <w:p w14:paraId="5FA501DA">
            <w:pPr>
              <w:widowControl/>
              <w:jc w:val="center"/>
              <w:textAlignment w:val="center"/>
              <w:rPr>
                <w:rFonts w:eastAsia="方正黑体_GBK"/>
                <w:sz w:val="24"/>
                <w:szCs w:val="24"/>
              </w:rPr>
            </w:pPr>
            <w:r>
              <w:rPr>
                <w:rFonts w:eastAsia="方正黑体_GBK"/>
                <w:kern w:val="0"/>
                <w:sz w:val="24"/>
                <w:szCs w:val="24"/>
              </w:rPr>
              <w:t>事项名称</w:t>
            </w:r>
          </w:p>
        </w:tc>
        <w:tc>
          <w:tcPr>
            <w:tcW w:w="1802" w:type="dxa"/>
            <w:tcBorders>
              <w:top w:val="single" w:color="auto" w:sz="4" w:space="0"/>
              <w:left w:val="single" w:color="auto" w:sz="4" w:space="0"/>
              <w:bottom w:val="single" w:color="auto" w:sz="4" w:space="0"/>
              <w:right w:val="single" w:color="auto" w:sz="4" w:space="0"/>
            </w:tcBorders>
            <w:vAlign w:val="center"/>
          </w:tcPr>
          <w:p w14:paraId="5B23874B">
            <w:pPr>
              <w:widowControl/>
              <w:spacing w:line="320" w:lineRule="exact"/>
              <w:jc w:val="center"/>
              <w:textAlignment w:val="center"/>
              <w:rPr>
                <w:rFonts w:eastAsia="方正黑体_GBK"/>
                <w:sz w:val="24"/>
                <w:szCs w:val="24"/>
              </w:rPr>
            </w:pPr>
            <w:r>
              <w:rPr>
                <w:rFonts w:eastAsia="方正黑体_GBK"/>
                <w:kern w:val="0"/>
                <w:sz w:val="24"/>
                <w:szCs w:val="24"/>
              </w:rPr>
              <w:t>基层群众性自治组织依法协助政府工作具体内容</w:t>
            </w:r>
          </w:p>
        </w:tc>
        <w:tc>
          <w:tcPr>
            <w:tcW w:w="7846" w:type="dxa"/>
            <w:vMerge w:val="continue"/>
            <w:tcBorders>
              <w:left w:val="single" w:color="auto" w:sz="4" w:space="0"/>
              <w:bottom w:val="single" w:color="auto" w:sz="4" w:space="0"/>
              <w:right w:val="single" w:color="auto" w:sz="4" w:space="0"/>
            </w:tcBorders>
            <w:vAlign w:val="center"/>
          </w:tcPr>
          <w:p w14:paraId="4A1D4A49">
            <w:pPr>
              <w:widowControl/>
              <w:jc w:val="center"/>
              <w:textAlignment w:val="center"/>
              <w:rPr>
                <w:rFonts w:eastAsia="方正黑体_GBK"/>
                <w:sz w:val="24"/>
                <w:szCs w:val="24"/>
              </w:rPr>
            </w:pPr>
          </w:p>
        </w:tc>
        <w:tc>
          <w:tcPr>
            <w:tcW w:w="1404" w:type="dxa"/>
            <w:vMerge w:val="continue"/>
            <w:tcBorders>
              <w:left w:val="single" w:color="auto" w:sz="4" w:space="0"/>
              <w:bottom w:val="single" w:color="auto" w:sz="4" w:space="0"/>
              <w:right w:val="single" w:color="auto" w:sz="4" w:space="0"/>
            </w:tcBorders>
            <w:vAlign w:val="center"/>
          </w:tcPr>
          <w:p w14:paraId="34F9925F">
            <w:pPr>
              <w:widowControl/>
              <w:jc w:val="center"/>
              <w:textAlignment w:val="center"/>
              <w:rPr>
                <w:rFonts w:eastAsia="方正黑体_GBK"/>
                <w:sz w:val="24"/>
                <w:szCs w:val="24"/>
              </w:rPr>
            </w:pPr>
          </w:p>
        </w:tc>
        <w:tc>
          <w:tcPr>
            <w:tcW w:w="900" w:type="dxa"/>
            <w:vMerge w:val="continue"/>
            <w:tcBorders>
              <w:left w:val="single" w:color="auto" w:sz="4" w:space="0"/>
              <w:bottom w:val="single" w:color="auto" w:sz="4" w:space="0"/>
              <w:right w:val="single" w:color="auto" w:sz="4" w:space="0"/>
            </w:tcBorders>
            <w:vAlign w:val="center"/>
          </w:tcPr>
          <w:p w14:paraId="3D480219">
            <w:pPr>
              <w:widowControl/>
              <w:jc w:val="center"/>
              <w:textAlignment w:val="center"/>
              <w:rPr>
                <w:rFonts w:eastAsia="方正黑体_GBK"/>
                <w:sz w:val="24"/>
                <w:szCs w:val="24"/>
              </w:rPr>
            </w:pPr>
          </w:p>
        </w:tc>
        <w:tc>
          <w:tcPr>
            <w:tcW w:w="686" w:type="dxa"/>
            <w:vMerge w:val="continue"/>
            <w:tcBorders>
              <w:left w:val="single" w:color="auto" w:sz="4" w:space="0"/>
              <w:bottom w:val="single" w:color="auto" w:sz="4" w:space="0"/>
              <w:right w:val="single" w:color="auto" w:sz="4" w:space="0"/>
            </w:tcBorders>
            <w:vAlign w:val="center"/>
          </w:tcPr>
          <w:p w14:paraId="10FB2FCF">
            <w:pPr>
              <w:widowControl/>
              <w:jc w:val="center"/>
              <w:textAlignment w:val="center"/>
              <w:rPr>
                <w:rFonts w:eastAsia="方正黑体_GBK"/>
                <w:sz w:val="24"/>
                <w:szCs w:val="24"/>
              </w:rPr>
            </w:pPr>
          </w:p>
        </w:tc>
      </w:tr>
      <w:tr w14:paraId="55A28D8E">
        <w:tblPrEx>
          <w:tblCellMar>
            <w:top w:w="15" w:type="dxa"/>
            <w:left w:w="15" w:type="dxa"/>
            <w:bottom w:w="15" w:type="dxa"/>
            <w:right w:w="15" w:type="dxa"/>
          </w:tblCellMar>
        </w:tblPrEx>
        <w:trPr>
          <w:trHeight w:val="4797" w:hRule="atLeast"/>
          <w:jc w:val="center"/>
        </w:trPr>
        <w:tc>
          <w:tcPr>
            <w:tcW w:w="808" w:type="dxa"/>
            <w:tcBorders>
              <w:top w:val="single" w:color="auto" w:sz="4" w:space="0"/>
              <w:left w:val="single" w:color="000000" w:sz="4" w:space="0"/>
              <w:bottom w:val="single" w:color="000000" w:sz="4" w:space="0"/>
              <w:right w:val="single" w:color="000000" w:sz="4" w:space="0"/>
            </w:tcBorders>
            <w:vAlign w:val="center"/>
          </w:tcPr>
          <w:p w14:paraId="676999EE">
            <w:pPr>
              <w:widowControl/>
              <w:spacing w:line="320" w:lineRule="exact"/>
              <w:jc w:val="center"/>
              <w:textAlignment w:val="center"/>
              <w:rPr>
                <w:rFonts w:ascii="宋体" w:hAnsi="宋体" w:eastAsia="宋体" w:cs="宋体"/>
                <w:sz w:val="21"/>
                <w:szCs w:val="21"/>
              </w:rPr>
            </w:pPr>
            <w:r>
              <w:rPr>
                <w:rFonts w:hint="eastAsia" w:ascii="宋体" w:hAnsi="宋体" w:eastAsia="宋体" w:cs="宋体"/>
                <w:kern w:val="0"/>
                <w:sz w:val="21"/>
                <w:szCs w:val="21"/>
              </w:rPr>
              <w:t>1</w:t>
            </w:r>
          </w:p>
        </w:tc>
        <w:tc>
          <w:tcPr>
            <w:tcW w:w="1314" w:type="dxa"/>
            <w:tcBorders>
              <w:top w:val="single" w:color="auto" w:sz="4" w:space="0"/>
              <w:left w:val="single" w:color="000000" w:sz="4" w:space="0"/>
              <w:bottom w:val="single" w:color="000000" w:sz="4" w:space="0"/>
              <w:right w:val="single" w:color="000000" w:sz="4" w:space="0"/>
            </w:tcBorders>
            <w:vAlign w:val="center"/>
          </w:tcPr>
          <w:p w14:paraId="5994C28E">
            <w:pPr>
              <w:widowControl/>
              <w:spacing w:line="320" w:lineRule="exact"/>
              <w:jc w:val="center"/>
              <w:textAlignment w:val="center"/>
              <w:rPr>
                <w:rFonts w:ascii="宋体" w:hAnsi="宋体" w:eastAsia="宋体" w:cs="宋体"/>
                <w:kern w:val="0"/>
                <w:sz w:val="21"/>
                <w:szCs w:val="21"/>
              </w:rPr>
            </w:pPr>
            <w:r>
              <w:rPr>
                <w:rFonts w:hint="eastAsia" w:ascii="宋体" w:hAnsi="宋体" w:eastAsia="宋体" w:cs="宋体"/>
                <w:kern w:val="0"/>
                <w:sz w:val="21"/>
                <w:szCs w:val="21"/>
              </w:rPr>
              <w:t>协助做好社会</w:t>
            </w:r>
          </w:p>
          <w:p w14:paraId="16074923">
            <w:pPr>
              <w:widowControl/>
              <w:spacing w:line="320" w:lineRule="exact"/>
              <w:jc w:val="center"/>
              <w:textAlignment w:val="center"/>
              <w:rPr>
                <w:rFonts w:ascii="宋体" w:hAnsi="宋体" w:eastAsia="宋体" w:cs="宋体"/>
                <w:sz w:val="21"/>
                <w:szCs w:val="21"/>
              </w:rPr>
            </w:pPr>
            <w:r>
              <w:rPr>
                <w:rFonts w:hint="eastAsia" w:ascii="宋体" w:hAnsi="宋体" w:eastAsia="宋体" w:cs="宋体"/>
                <w:kern w:val="0"/>
                <w:sz w:val="21"/>
                <w:szCs w:val="21"/>
              </w:rPr>
              <w:t>救助工作</w:t>
            </w:r>
          </w:p>
        </w:tc>
        <w:tc>
          <w:tcPr>
            <w:tcW w:w="1802" w:type="dxa"/>
            <w:tcBorders>
              <w:top w:val="single" w:color="auto" w:sz="4" w:space="0"/>
              <w:left w:val="single" w:color="000000" w:sz="4" w:space="0"/>
              <w:bottom w:val="single" w:color="000000" w:sz="4" w:space="0"/>
              <w:right w:val="single" w:color="000000" w:sz="4" w:space="0"/>
            </w:tcBorders>
            <w:vAlign w:val="center"/>
          </w:tcPr>
          <w:p w14:paraId="0BC7AA9A">
            <w:pPr>
              <w:widowControl/>
              <w:spacing w:line="320" w:lineRule="exact"/>
              <w:jc w:val="center"/>
              <w:textAlignment w:val="center"/>
              <w:rPr>
                <w:rFonts w:ascii="宋体" w:hAnsi="宋体" w:eastAsia="宋体" w:cs="宋体"/>
                <w:sz w:val="21"/>
                <w:szCs w:val="21"/>
              </w:rPr>
            </w:pPr>
            <w:r>
              <w:rPr>
                <w:rFonts w:hint="eastAsia" w:ascii="宋体" w:hAnsi="宋体" w:eastAsia="宋体" w:cs="宋体"/>
                <w:kern w:val="0"/>
                <w:sz w:val="21"/>
                <w:szCs w:val="21"/>
              </w:rPr>
              <w:t>协助开展最低生活保障、特困供养、临时救助的调查核实、群众评议、张榜公示和定期核查等工作。</w:t>
            </w:r>
          </w:p>
        </w:tc>
        <w:tc>
          <w:tcPr>
            <w:tcW w:w="7846" w:type="dxa"/>
            <w:tcBorders>
              <w:top w:val="single" w:color="auto" w:sz="4" w:space="0"/>
              <w:left w:val="single" w:color="000000" w:sz="4" w:space="0"/>
              <w:bottom w:val="single" w:color="000000" w:sz="4" w:space="0"/>
              <w:right w:val="single" w:color="000000" w:sz="4" w:space="0"/>
            </w:tcBorders>
            <w:vAlign w:val="center"/>
          </w:tcPr>
          <w:p w14:paraId="558F2B0F">
            <w:pPr>
              <w:widowControl/>
              <w:spacing w:line="280" w:lineRule="exact"/>
              <w:jc w:val="left"/>
              <w:textAlignment w:val="center"/>
              <w:rPr>
                <w:rStyle w:val="13"/>
                <w:rFonts w:hint="default"/>
                <w:bCs/>
                <w:color w:val="auto"/>
                <w:sz w:val="21"/>
                <w:szCs w:val="21"/>
              </w:rPr>
            </w:pPr>
            <w:r>
              <w:rPr>
                <w:rFonts w:hint="eastAsia" w:ascii="宋体" w:hAnsi="宋体" w:eastAsia="宋体" w:cs="宋体"/>
                <w:bCs/>
                <w:kern w:val="0"/>
                <w:sz w:val="21"/>
                <w:szCs w:val="21"/>
              </w:rPr>
              <w:t>1.协助发现需救助困难群众。走访、发现需救助困难群众，</w:t>
            </w:r>
            <w:r>
              <w:rPr>
                <w:rStyle w:val="13"/>
                <w:bCs/>
                <w:color w:val="auto"/>
                <w:sz w:val="21"/>
                <w:szCs w:val="21"/>
              </w:rPr>
              <w:t>及时告知其相关社会救助政策，并及时向乡（镇）人民政府、街道办事处报告。</w:t>
            </w:r>
          </w:p>
          <w:p w14:paraId="43E5C4BA">
            <w:pPr>
              <w:widowControl/>
              <w:spacing w:line="280" w:lineRule="exact"/>
              <w:jc w:val="left"/>
              <w:textAlignment w:val="center"/>
              <w:rPr>
                <w:rFonts w:ascii="宋体" w:hAnsi="宋体" w:eastAsia="宋体" w:cs="宋体"/>
                <w:bCs/>
                <w:kern w:val="0"/>
                <w:sz w:val="21"/>
                <w:szCs w:val="21"/>
              </w:rPr>
            </w:pPr>
            <w:r>
              <w:rPr>
                <w:rFonts w:hint="eastAsia" w:ascii="宋体" w:hAnsi="宋体" w:eastAsia="宋体" w:cs="宋体"/>
                <w:bCs/>
                <w:kern w:val="0"/>
                <w:sz w:val="21"/>
                <w:szCs w:val="21"/>
              </w:rPr>
              <w:t>2.协助开展社会救助对象家庭经济状况调查核实。</w:t>
            </w:r>
          </w:p>
          <w:p w14:paraId="7DEFBB78">
            <w:pPr>
              <w:widowControl/>
              <w:spacing w:line="280" w:lineRule="exact"/>
              <w:jc w:val="left"/>
              <w:textAlignment w:val="center"/>
              <w:rPr>
                <w:rFonts w:ascii="宋体" w:hAnsi="宋体" w:eastAsia="宋体" w:cs="宋体"/>
                <w:bCs/>
                <w:kern w:val="0"/>
                <w:sz w:val="21"/>
                <w:szCs w:val="21"/>
              </w:rPr>
            </w:pPr>
            <w:r>
              <w:rPr>
                <w:rStyle w:val="13"/>
                <w:bCs/>
                <w:color w:val="auto"/>
                <w:sz w:val="21"/>
                <w:szCs w:val="21"/>
              </w:rPr>
              <w:t xml:space="preserve">①协助乡（镇）人民政府、街道办事处开展入户调查、邻里访问等工作，了解救助申请人家庭人员情况、就业及收入情况、家庭财产情况、日常支出等实际生活状况以及遭遇突发事件、意外伤害、重大疾病，生活必需支出突然增加或其他困难的实际情况。        </w:t>
            </w:r>
            <w:r>
              <w:rPr>
                <w:rStyle w:val="13"/>
                <w:bCs/>
                <w:color w:val="auto"/>
                <w:sz w:val="21"/>
                <w:szCs w:val="21"/>
              </w:rPr>
              <w:br w:type="textWrapping"/>
            </w:r>
            <w:r>
              <w:rPr>
                <w:rStyle w:val="13"/>
                <w:bCs/>
                <w:color w:val="auto"/>
                <w:sz w:val="21"/>
                <w:szCs w:val="21"/>
              </w:rPr>
              <w:t>②协助开展最低生活保障家庭、经济状况定期调查核实，对低保家庭人口、收入、财产等情况发生变化的，应及时向乡（镇）人民政府、街道办事处报告；特困人员生活自理能力发生变化的，应通过乡（镇）人民政府、街道办事处及时报告县级人民政府民政部门。</w:t>
            </w:r>
            <w:r>
              <w:rPr>
                <w:rStyle w:val="13"/>
                <w:bCs/>
                <w:color w:val="auto"/>
                <w:sz w:val="21"/>
                <w:szCs w:val="21"/>
              </w:rPr>
              <w:br w:type="textWrapping"/>
            </w:r>
            <w:r>
              <w:rPr>
                <w:rFonts w:hint="eastAsia" w:ascii="宋体" w:hAnsi="宋体" w:eastAsia="宋体" w:cs="宋体"/>
                <w:bCs/>
                <w:kern w:val="0"/>
                <w:sz w:val="21"/>
                <w:szCs w:val="21"/>
              </w:rPr>
              <w:t>3.协助做好社会救助政策宣传及走访帮扶。</w:t>
            </w:r>
          </w:p>
          <w:p w14:paraId="59C57345">
            <w:pPr>
              <w:widowControl/>
              <w:spacing w:line="280" w:lineRule="exact"/>
              <w:jc w:val="left"/>
              <w:textAlignment w:val="center"/>
              <w:rPr>
                <w:rStyle w:val="13"/>
                <w:rFonts w:hint="default"/>
                <w:color w:val="auto"/>
                <w:sz w:val="21"/>
                <w:szCs w:val="21"/>
              </w:rPr>
            </w:pPr>
            <w:r>
              <w:rPr>
                <w:rStyle w:val="13"/>
                <w:bCs/>
                <w:color w:val="auto"/>
                <w:sz w:val="21"/>
                <w:szCs w:val="21"/>
              </w:rPr>
              <w:t xml:space="preserve">①协助做好最低生活保障、特困人员救助供养、临时救助等社会救助申请条件、救助标准、申请材料、办理流程等政策的宣传工作。                              </w:t>
            </w:r>
            <w:r>
              <w:rPr>
                <w:rStyle w:val="13"/>
                <w:bCs/>
                <w:color w:val="auto"/>
                <w:sz w:val="21"/>
                <w:szCs w:val="21"/>
              </w:rPr>
              <w:br w:type="textWrapping"/>
            </w:r>
            <w:r>
              <w:rPr>
                <w:rStyle w:val="13"/>
                <w:bCs/>
                <w:color w:val="auto"/>
                <w:sz w:val="21"/>
                <w:szCs w:val="21"/>
              </w:rPr>
              <w:t>②受乡镇人民政府（街道办事处）委托对辖区内分散供养的特困人员，应定期开展探访，落实服务责任和帮扶措施。</w:t>
            </w:r>
          </w:p>
        </w:tc>
        <w:tc>
          <w:tcPr>
            <w:tcW w:w="1404" w:type="dxa"/>
            <w:tcBorders>
              <w:top w:val="single" w:color="auto" w:sz="4" w:space="0"/>
              <w:left w:val="single" w:color="000000" w:sz="4" w:space="0"/>
              <w:bottom w:val="single" w:color="000000" w:sz="4" w:space="0"/>
              <w:right w:val="single" w:color="000000" w:sz="4" w:space="0"/>
            </w:tcBorders>
            <w:vAlign w:val="center"/>
          </w:tcPr>
          <w:p w14:paraId="3C61D836">
            <w:pPr>
              <w:widowControl/>
              <w:spacing w:line="320" w:lineRule="exact"/>
              <w:jc w:val="left"/>
              <w:textAlignment w:val="center"/>
              <w:rPr>
                <w:rFonts w:ascii="宋体" w:hAnsi="宋体" w:eastAsia="宋体" w:cs="宋体"/>
                <w:kern w:val="0"/>
                <w:sz w:val="21"/>
                <w:szCs w:val="21"/>
              </w:rPr>
            </w:pPr>
            <w:r>
              <w:rPr>
                <w:rFonts w:hint="eastAsia" w:ascii="宋体" w:hAnsi="宋体" w:eastAsia="宋体" w:cs="宋体"/>
                <w:kern w:val="0"/>
                <w:sz w:val="21"/>
                <w:szCs w:val="21"/>
              </w:rPr>
              <w:t>《社会救助暂行办法》第四条</w:t>
            </w:r>
          </w:p>
          <w:p w14:paraId="3A6B6424">
            <w:pPr>
              <w:widowControl/>
              <w:spacing w:line="320" w:lineRule="exact"/>
              <w:jc w:val="left"/>
              <w:textAlignment w:val="center"/>
              <w:rPr>
                <w:rFonts w:ascii="宋体" w:hAnsi="宋体" w:eastAsia="宋体" w:cs="宋体"/>
                <w:sz w:val="21"/>
                <w:szCs w:val="21"/>
              </w:rPr>
            </w:pPr>
            <w:r>
              <w:rPr>
                <w:rFonts w:hint="eastAsia" w:ascii="宋体" w:hAnsi="宋体" w:eastAsia="宋体" w:cs="宋体"/>
                <w:kern w:val="0"/>
                <w:sz w:val="21"/>
                <w:szCs w:val="21"/>
              </w:rPr>
              <w:t>《重庆市城乡居民最低生活保障条例》第五条</w:t>
            </w:r>
          </w:p>
        </w:tc>
        <w:tc>
          <w:tcPr>
            <w:tcW w:w="900" w:type="dxa"/>
            <w:tcBorders>
              <w:top w:val="single" w:color="auto" w:sz="4" w:space="0"/>
              <w:left w:val="single" w:color="000000" w:sz="4" w:space="0"/>
              <w:bottom w:val="single" w:color="000000" w:sz="4" w:space="0"/>
              <w:right w:val="single" w:color="000000" w:sz="4" w:space="0"/>
            </w:tcBorders>
            <w:vAlign w:val="center"/>
          </w:tcPr>
          <w:p w14:paraId="43A0BDBC">
            <w:pPr>
              <w:widowControl/>
              <w:spacing w:line="320" w:lineRule="exact"/>
              <w:jc w:val="left"/>
              <w:textAlignment w:val="center"/>
              <w:rPr>
                <w:rFonts w:ascii="宋体" w:hAnsi="宋体" w:eastAsia="宋体" w:cs="宋体"/>
                <w:sz w:val="21"/>
                <w:szCs w:val="21"/>
              </w:rPr>
            </w:pPr>
            <w:r>
              <w:rPr>
                <w:rFonts w:hint="eastAsia" w:ascii="宋体" w:hAnsi="宋体" w:eastAsia="宋体" w:cs="宋体"/>
                <w:kern w:val="0"/>
                <w:sz w:val="21"/>
                <w:szCs w:val="21"/>
              </w:rPr>
              <w:t>民政部门</w:t>
            </w:r>
          </w:p>
        </w:tc>
        <w:tc>
          <w:tcPr>
            <w:tcW w:w="686" w:type="dxa"/>
            <w:tcBorders>
              <w:top w:val="single" w:color="auto" w:sz="4" w:space="0"/>
              <w:left w:val="single" w:color="000000" w:sz="4" w:space="0"/>
              <w:bottom w:val="single" w:color="000000" w:sz="4" w:space="0"/>
              <w:right w:val="single" w:color="000000" w:sz="4" w:space="0"/>
            </w:tcBorders>
            <w:vAlign w:val="center"/>
          </w:tcPr>
          <w:p w14:paraId="72CFB8F0">
            <w:pPr>
              <w:spacing w:line="320" w:lineRule="exact"/>
              <w:jc w:val="center"/>
              <w:rPr>
                <w:rFonts w:ascii="宋体" w:hAnsi="宋体" w:eastAsia="宋体" w:cs="宋体"/>
                <w:sz w:val="21"/>
                <w:szCs w:val="21"/>
              </w:rPr>
            </w:pPr>
          </w:p>
        </w:tc>
      </w:tr>
      <w:tr w14:paraId="185EC187">
        <w:tblPrEx>
          <w:tblCellMar>
            <w:top w:w="15" w:type="dxa"/>
            <w:left w:w="15" w:type="dxa"/>
            <w:bottom w:w="15" w:type="dxa"/>
            <w:right w:w="15" w:type="dxa"/>
          </w:tblCellMar>
        </w:tblPrEx>
        <w:trPr>
          <w:trHeight w:val="1813" w:hRule="atLeast"/>
          <w:jc w:val="center"/>
        </w:trPr>
        <w:tc>
          <w:tcPr>
            <w:tcW w:w="808" w:type="dxa"/>
            <w:tcBorders>
              <w:top w:val="single" w:color="auto" w:sz="4" w:space="0"/>
              <w:left w:val="single" w:color="auto" w:sz="4" w:space="0"/>
              <w:bottom w:val="single" w:color="auto" w:sz="4" w:space="0"/>
              <w:right w:val="single" w:color="auto" w:sz="4" w:space="0"/>
            </w:tcBorders>
            <w:vAlign w:val="center"/>
          </w:tcPr>
          <w:p w14:paraId="35310778">
            <w:pPr>
              <w:spacing w:line="320" w:lineRule="exact"/>
              <w:jc w:val="center"/>
              <w:rPr>
                <w:rFonts w:ascii="宋体" w:hAnsi="宋体" w:eastAsia="宋体" w:cs="宋体"/>
                <w:sz w:val="21"/>
                <w:szCs w:val="21"/>
              </w:rPr>
            </w:pPr>
            <w:r>
              <w:rPr>
                <w:rFonts w:hint="eastAsia" w:ascii="宋体" w:hAnsi="宋体" w:eastAsia="宋体" w:cs="宋体"/>
                <w:sz w:val="21"/>
                <w:szCs w:val="21"/>
              </w:rPr>
              <w:t>2</w:t>
            </w:r>
          </w:p>
        </w:tc>
        <w:tc>
          <w:tcPr>
            <w:tcW w:w="1314" w:type="dxa"/>
            <w:tcBorders>
              <w:top w:val="single" w:color="auto" w:sz="4" w:space="0"/>
              <w:left w:val="single" w:color="auto" w:sz="4" w:space="0"/>
              <w:bottom w:val="single" w:color="auto" w:sz="4" w:space="0"/>
              <w:right w:val="single" w:color="auto" w:sz="4" w:space="0"/>
            </w:tcBorders>
            <w:vAlign w:val="center"/>
          </w:tcPr>
          <w:p w14:paraId="58B48044">
            <w:pPr>
              <w:widowControl/>
              <w:spacing w:line="320" w:lineRule="exact"/>
              <w:textAlignment w:val="center"/>
              <w:rPr>
                <w:rFonts w:ascii="宋体" w:hAnsi="宋体" w:eastAsia="宋体" w:cs="宋体"/>
                <w:sz w:val="21"/>
                <w:szCs w:val="21"/>
              </w:rPr>
            </w:pPr>
            <w:r>
              <w:rPr>
                <w:rFonts w:hint="eastAsia" w:ascii="宋体" w:hAnsi="宋体" w:eastAsia="宋体" w:cs="宋体"/>
                <w:kern w:val="0"/>
                <w:sz w:val="21"/>
                <w:szCs w:val="21"/>
              </w:rPr>
              <w:t>协助做好噪声环保工作</w:t>
            </w:r>
          </w:p>
        </w:tc>
        <w:tc>
          <w:tcPr>
            <w:tcW w:w="1802" w:type="dxa"/>
            <w:tcBorders>
              <w:top w:val="single" w:color="auto" w:sz="4" w:space="0"/>
              <w:left w:val="single" w:color="auto" w:sz="4" w:space="0"/>
              <w:bottom w:val="single" w:color="auto" w:sz="4" w:space="0"/>
              <w:right w:val="single" w:color="auto" w:sz="4" w:space="0"/>
            </w:tcBorders>
            <w:vAlign w:val="center"/>
          </w:tcPr>
          <w:p w14:paraId="2DE79BA2">
            <w:pPr>
              <w:widowControl/>
              <w:spacing w:line="320" w:lineRule="exact"/>
              <w:jc w:val="left"/>
              <w:textAlignment w:val="center"/>
              <w:rPr>
                <w:rFonts w:ascii="宋体" w:hAnsi="宋体" w:eastAsia="宋体" w:cs="宋体"/>
                <w:sz w:val="21"/>
                <w:szCs w:val="21"/>
              </w:rPr>
            </w:pPr>
            <w:r>
              <w:rPr>
                <w:rFonts w:hint="eastAsia" w:ascii="宋体" w:hAnsi="宋体" w:eastAsia="宋体" w:cs="宋体"/>
                <w:kern w:val="0"/>
                <w:sz w:val="21"/>
                <w:szCs w:val="21"/>
              </w:rPr>
              <w:t>协助做好噪声环境保护工作。</w:t>
            </w:r>
          </w:p>
        </w:tc>
        <w:tc>
          <w:tcPr>
            <w:tcW w:w="7846" w:type="dxa"/>
            <w:tcBorders>
              <w:top w:val="single" w:color="auto" w:sz="4" w:space="0"/>
              <w:left w:val="single" w:color="auto" w:sz="4" w:space="0"/>
              <w:bottom w:val="single" w:color="auto" w:sz="4" w:space="0"/>
              <w:right w:val="single" w:color="auto" w:sz="4" w:space="0"/>
            </w:tcBorders>
            <w:vAlign w:val="center"/>
          </w:tcPr>
          <w:p w14:paraId="10AEC0E0">
            <w:pPr>
              <w:numPr>
                <w:ilvl w:val="0"/>
                <w:numId w:val="1"/>
              </w:numPr>
              <w:autoSpaceDN w:val="0"/>
              <w:spacing w:line="320" w:lineRule="exact"/>
              <w:textAlignment w:val="center"/>
              <w:rPr>
                <w:rFonts w:ascii="宋体" w:hAnsi="宋体" w:eastAsia="宋体" w:cs="宋体"/>
                <w:sz w:val="21"/>
                <w:szCs w:val="21"/>
              </w:rPr>
            </w:pPr>
            <w:r>
              <w:rPr>
                <w:rFonts w:hint="eastAsia" w:ascii="宋体" w:hAnsi="宋体" w:eastAsia="宋体" w:cs="宋体"/>
                <w:sz w:val="21"/>
                <w:szCs w:val="21"/>
              </w:rPr>
              <w:t>协助生态环境、公安、文旅委等部门开展环境噪音污染防治的法律宣传。</w:t>
            </w:r>
          </w:p>
          <w:p w14:paraId="48975CE5">
            <w:pPr>
              <w:numPr>
                <w:ilvl w:val="0"/>
                <w:numId w:val="1"/>
              </w:numPr>
              <w:autoSpaceDN w:val="0"/>
              <w:spacing w:line="320" w:lineRule="exact"/>
              <w:textAlignment w:val="center"/>
              <w:rPr>
                <w:rFonts w:ascii="宋体" w:hAnsi="宋体" w:eastAsia="宋体" w:cs="宋体"/>
                <w:kern w:val="0"/>
                <w:sz w:val="21"/>
                <w:szCs w:val="21"/>
              </w:rPr>
            </w:pPr>
            <w:r>
              <w:rPr>
                <w:rFonts w:hint="eastAsia" w:ascii="宋体" w:hAnsi="宋体" w:eastAsia="宋体" w:cs="宋体"/>
                <w:sz w:val="21"/>
                <w:szCs w:val="21"/>
              </w:rPr>
              <w:t>对无单位管辖（社区内属地）的场坝开展防止社会生活噪音扰民的管理。</w:t>
            </w:r>
          </w:p>
          <w:p w14:paraId="54B65905">
            <w:pPr>
              <w:numPr>
                <w:ilvl w:val="0"/>
                <w:numId w:val="1"/>
              </w:numPr>
              <w:autoSpaceDN w:val="0"/>
              <w:spacing w:line="320" w:lineRule="exact"/>
              <w:textAlignment w:val="center"/>
              <w:rPr>
                <w:rFonts w:ascii="宋体" w:hAnsi="宋体" w:eastAsia="宋体" w:cs="宋体"/>
                <w:sz w:val="21"/>
                <w:szCs w:val="21"/>
              </w:rPr>
            </w:pPr>
            <w:r>
              <w:rPr>
                <w:rFonts w:hint="eastAsia" w:ascii="宋体" w:hAnsi="宋体" w:eastAsia="宋体" w:cs="宋体"/>
                <w:sz w:val="21"/>
                <w:szCs w:val="21"/>
              </w:rPr>
              <w:t>协助公安机关开展社会生活噪音扰民的监管，引导群众性组织建立坝坝舞等群众性自律公约。</w:t>
            </w:r>
          </w:p>
        </w:tc>
        <w:tc>
          <w:tcPr>
            <w:tcW w:w="1404" w:type="dxa"/>
            <w:tcBorders>
              <w:top w:val="single" w:color="auto" w:sz="4" w:space="0"/>
              <w:left w:val="single" w:color="auto" w:sz="4" w:space="0"/>
              <w:bottom w:val="single" w:color="auto" w:sz="4" w:space="0"/>
              <w:right w:val="single" w:color="auto" w:sz="4" w:space="0"/>
            </w:tcBorders>
            <w:vAlign w:val="center"/>
          </w:tcPr>
          <w:p w14:paraId="658F980A">
            <w:pPr>
              <w:autoSpaceDN w:val="0"/>
              <w:spacing w:line="320" w:lineRule="exact"/>
              <w:jc w:val="left"/>
              <w:textAlignment w:val="center"/>
              <w:rPr>
                <w:rFonts w:ascii="宋体" w:hAnsi="宋体" w:eastAsia="宋体" w:cs="宋体"/>
                <w:sz w:val="21"/>
                <w:szCs w:val="21"/>
              </w:rPr>
            </w:pPr>
            <w:r>
              <w:rPr>
                <w:rFonts w:hint="eastAsia" w:ascii="宋体" w:hAnsi="宋体" w:eastAsia="宋体" w:cs="宋体"/>
                <w:sz w:val="21"/>
                <w:szCs w:val="21"/>
              </w:rPr>
              <w:t>《重庆市环境噪音污染防治法》第七条</w:t>
            </w:r>
          </w:p>
        </w:tc>
        <w:tc>
          <w:tcPr>
            <w:tcW w:w="900" w:type="dxa"/>
            <w:tcBorders>
              <w:top w:val="single" w:color="auto" w:sz="4" w:space="0"/>
              <w:left w:val="single" w:color="auto" w:sz="4" w:space="0"/>
              <w:bottom w:val="single" w:color="auto" w:sz="4" w:space="0"/>
              <w:right w:val="single" w:color="auto" w:sz="4" w:space="0"/>
            </w:tcBorders>
            <w:vAlign w:val="center"/>
          </w:tcPr>
          <w:p w14:paraId="2885DF58">
            <w:pPr>
              <w:autoSpaceDN w:val="0"/>
              <w:spacing w:line="320" w:lineRule="exact"/>
              <w:jc w:val="left"/>
              <w:textAlignment w:val="center"/>
              <w:rPr>
                <w:rFonts w:ascii="宋体" w:hAnsi="宋体" w:eastAsia="宋体" w:cs="宋体"/>
                <w:sz w:val="21"/>
                <w:szCs w:val="21"/>
              </w:rPr>
            </w:pPr>
            <w:r>
              <w:rPr>
                <w:rFonts w:hint="eastAsia" w:ascii="宋体" w:hAnsi="宋体" w:eastAsia="宋体" w:cs="宋体"/>
                <w:sz w:val="21"/>
                <w:szCs w:val="21"/>
              </w:rPr>
              <w:t>生态环境、公安、文化旅游部门</w:t>
            </w:r>
          </w:p>
        </w:tc>
        <w:tc>
          <w:tcPr>
            <w:tcW w:w="686" w:type="dxa"/>
            <w:tcBorders>
              <w:top w:val="single" w:color="auto" w:sz="4" w:space="0"/>
              <w:left w:val="single" w:color="auto" w:sz="4" w:space="0"/>
              <w:bottom w:val="single" w:color="auto" w:sz="4" w:space="0"/>
              <w:right w:val="single" w:color="auto" w:sz="4" w:space="0"/>
            </w:tcBorders>
            <w:vAlign w:val="center"/>
          </w:tcPr>
          <w:p w14:paraId="5506AD9D">
            <w:pPr>
              <w:spacing w:line="320" w:lineRule="exact"/>
              <w:rPr>
                <w:rFonts w:ascii="宋体" w:hAnsi="宋体" w:eastAsia="宋体" w:cs="宋体"/>
                <w:sz w:val="21"/>
                <w:szCs w:val="21"/>
              </w:rPr>
            </w:pPr>
          </w:p>
        </w:tc>
      </w:tr>
      <w:tr w14:paraId="1F423AE9">
        <w:tblPrEx>
          <w:tblCellMar>
            <w:top w:w="15" w:type="dxa"/>
            <w:left w:w="15" w:type="dxa"/>
            <w:bottom w:w="15" w:type="dxa"/>
            <w:right w:w="15" w:type="dxa"/>
          </w:tblCellMar>
        </w:tblPrEx>
        <w:trPr>
          <w:trHeight w:val="3414" w:hRule="atLeast"/>
          <w:jc w:val="center"/>
        </w:trPr>
        <w:tc>
          <w:tcPr>
            <w:tcW w:w="808" w:type="dxa"/>
            <w:tcBorders>
              <w:top w:val="single" w:color="auto" w:sz="4" w:space="0"/>
              <w:left w:val="single" w:color="auto" w:sz="4" w:space="0"/>
              <w:bottom w:val="single" w:color="auto" w:sz="4" w:space="0"/>
              <w:right w:val="single" w:color="auto" w:sz="4" w:space="0"/>
            </w:tcBorders>
            <w:vAlign w:val="center"/>
          </w:tcPr>
          <w:p w14:paraId="3B62895B">
            <w:pPr>
              <w:spacing w:line="320" w:lineRule="exact"/>
              <w:jc w:val="center"/>
              <w:rPr>
                <w:rFonts w:ascii="宋体" w:hAnsi="宋体" w:eastAsia="宋体" w:cs="宋体"/>
                <w:sz w:val="21"/>
                <w:szCs w:val="21"/>
              </w:rPr>
            </w:pPr>
            <w:r>
              <w:rPr>
                <w:rFonts w:hint="eastAsia" w:ascii="宋体" w:hAnsi="宋体" w:eastAsia="宋体" w:cs="宋体"/>
                <w:sz w:val="21"/>
                <w:szCs w:val="21"/>
              </w:rPr>
              <w:t>3</w:t>
            </w:r>
          </w:p>
        </w:tc>
        <w:tc>
          <w:tcPr>
            <w:tcW w:w="1314" w:type="dxa"/>
            <w:tcBorders>
              <w:top w:val="single" w:color="auto" w:sz="4" w:space="0"/>
              <w:left w:val="single" w:color="auto" w:sz="4" w:space="0"/>
              <w:bottom w:val="single" w:color="auto" w:sz="4" w:space="0"/>
              <w:right w:val="single" w:color="auto" w:sz="4" w:space="0"/>
            </w:tcBorders>
            <w:vAlign w:val="center"/>
          </w:tcPr>
          <w:p w14:paraId="20C54BB8">
            <w:pPr>
              <w:widowControl/>
              <w:spacing w:line="320" w:lineRule="exact"/>
              <w:textAlignment w:val="center"/>
              <w:rPr>
                <w:rFonts w:ascii="宋体" w:hAnsi="宋体" w:eastAsia="宋体" w:cs="宋体"/>
                <w:sz w:val="21"/>
                <w:szCs w:val="21"/>
              </w:rPr>
            </w:pPr>
            <w:r>
              <w:rPr>
                <w:rFonts w:hint="eastAsia" w:ascii="宋体" w:hAnsi="宋体" w:eastAsia="宋体" w:cs="宋体"/>
                <w:kern w:val="0"/>
                <w:sz w:val="21"/>
                <w:szCs w:val="21"/>
              </w:rPr>
              <w:t>协助申领发放居住证</w:t>
            </w:r>
          </w:p>
        </w:tc>
        <w:tc>
          <w:tcPr>
            <w:tcW w:w="1802" w:type="dxa"/>
            <w:tcBorders>
              <w:top w:val="single" w:color="auto" w:sz="4" w:space="0"/>
              <w:left w:val="single" w:color="auto" w:sz="4" w:space="0"/>
              <w:bottom w:val="single" w:color="auto" w:sz="4" w:space="0"/>
              <w:right w:val="single" w:color="auto" w:sz="4" w:space="0"/>
            </w:tcBorders>
            <w:vAlign w:val="center"/>
          </w:tcPr>
          <w:p w14:paraId="64839280">
            <w:pPr>
              <w:widowControl/>
              <w:spacing w:line="320" w:lineRule="exact"/>
              <w:jc w:val="left"/>
              <w:textAlignment w:val="center"/>
              <w:rPr>
                <w:rFonts w:ascii="宋体" w:hAnsi="宋体" w:eastAsia="宋体" w:cs="宋体"/>
                <w:sz w:val="21"/>
                <w:szCs w:val="21"/>
              </w:rPr>
            </w:pPr>
            <w:r>
              <w:rPr>
                <w:rFonts w:hint="eastAsia" w:ascii="宋体" w:hAnsi="宋体" w:eastAsia="宋体" w:cs="宋体"/>
                <w:kern w:val="0"/>
                <w:sz w:val="21"/>
                <w:szCs w:val="21"/>
              </w:rPr>
              <w:t>协助做好居住证的申领受理、发放等工作。</w:t>
            </w:r>
          </w:p>
        </w:tc>
        <w:tc>
          <w:tcPr>
            <w:tcW w:w="7846" w:type="dxa"/>
            <w:tcBorders>
              <w:top w:val="single" w:color="auto" w:sz="4" w:space="0"/>
              <w:left w:val="single" w:color="auto" w:sz="4" w:space="0"/>
              <w:bottom w:val="single" w:color="auto" w:sz="4" w:space="0"/>
              <w:right w:val="single" w:color="auto" w:sz="4" w:space="0"/>
            </w:tcBorders>
            <w:vAlign w:val="center"/>
          </w:tcPr>
          <w:p w14:paraId="3F94E9E8">
            <w:pPr>
              <w:spacing w:line="320" w:lineRule="exact"/>
              <w:rPr>
                <w:rFonts w:ascii="宋体" w:hAnsi="宋体" w:eastAsia="宋体" w:cs="宋体"/>
                <w:sz w:val="21"/>
                <w:szCs w:val="21"/>
              </w:rPr>
            </w:pPr>
            <w:r>
              <w:rPr>
                <w:rFonts w:hint="eastAsia" w:ascii="宋体" w:hAnsi="宋体" w:eastAsia="宋体" w:cs="宋体"/>
                <w:sz w:val="21"/>
                <w:szCs w:val="21"/>
              </w:rPr>
              <w:t>1.协助开展《居住证暂行条例》、《重庆市居住证实施办法》等法律法规及政策的宣传教育等。</w:t>
            </w:r>
          </w:p>
          <w:p w14:paraId="478FB8C5">
            <w:pPr>
              <w:spacing w:line="320" w:lineRule="exact"/>
              <w:rPr>
                <w:rFonts w:ascii="宋体" w:hAnsi="宋体" w:eastAsia="宋体" w:cs="宋体"/>
                <w:sz w:val="21"/>
                <w:szCs w:val="21"/>
              </w:rPr>
            </w:pPr>
            <w:r>
              <w:rPr>
                <w:rFonts w:hint="eastAsia" w:ascii="宋体" w:hAnsi="宋体" w:eastAsia="宋体" w:cs="宋体"/>
                <w:sz w:val="21"/>
                <w:szCs w:val="21"/>
              </w:rPr>
              <w:t>2.协助做好居住证的申领受理、发放工作。</w:t>
            </w:r>
          </w:p>
          <w:p w14:paraId="17004712">
            <w:pPr>
              <w:spacing w:line="320" w:lineRule="exact"/>
              <w:rPr>
                <w:rFonts w:ascii="宋体" w:hAnsi="宋体" w:eastAsia="宋体" w:cs="宋体"/>
                <w:sz w:val="21"/>
                <w:szCs w:val="21"/>
              </w:rPr>
            </w:pPr>
            <w:r>
              <w:rPr>
                <w:rFonts w:hint="eastAsia" w:ascii="宋体" w:hAnsi="宋体" w:eastAsia="宋体" w:cs="宋体"/>
                <w:sz w:val="21"/>
                <w:szCs w:val="21"/>
              </w:rPr>
              <w:sym w:font="Wingdings" w:char="F081"/>
            </w:r>
            <w:r>
              <w:rPr>
                <w:rFonts w:hint="eastAsia" w:ascii="宋体" w:hAnsi="宋体" w:eastAsia="宋体" w:cs="宋体"/>
                <w:sz w:val="21"/>
                <w:szCs w:val="21"/>
              </w:rPr>
              <w:t>开展居住证持有人信息的采集、登记工作，提供上门登记服务。</w:t>
            </w:r>
          </w:p>
          <w:p w14:paraId="76D32ABB">
            <w:pPr>
              <w:spacing w:line="320" w:lineRule="exact"/>
              <w:rPr>
                <w:rFonts w:ascii="宋体" w:hAnsi="宋体" w:eastAsia="宋体" w:cs="宋体"/>
                <w:sz w:val="21"/>
                <w:szCs w:val="21"/>
              </w:rPr>
            </w:pPr>
            <w:r>
              <w:rPr>
                <w:rFonts w:hint="eastAsia" w:ascii="宋体" w:hAnsi="宋体" w:eastAsia="宋体" w:cs="宋体"/>
                <w:sz w:val="21"/>
                <w:szCs w:val="21"/>
              </w:rPr>
              <w:sym w:font="Wingdings" w:char="F082"/>
            </w:r>
            <w:r>
              <w:rPr>
                <w:rFonts w:hint="eastAsia" w:ascii="宋体" w:hAnsi="宋体" w:eastAsia="宋体" w:cs="宋体"/>
                <w:sz w:val="21"/>
                <w:szCs w:val="21"/>
              </w:rPr>
              <w:t>对办理居住证的申请材料进行核对、审验。申请材料齐全的，应当当场受理；申请材料不全的，应当一次性告知申领人需要补充的材料；对不符合办理条件的，应当向申请人说明理由。</w:t>
            </w:r>
          </w:p>
          <w:p w14:paraId="003EF304">
            <w:pPr>
              <w:spacing w:line="320" w:lineRule="exact"/>
              <w:rPr>
                <w:rFonts w:ascii="宋体" w:hAnsi="宋体" w:eastAsia="宋体" w:cs="宋体"/>
                <w:sz w:val="21"/>
                <w:szCs w:val="21"/>
              </w:rPr>
            </w:pPr>
            <w:r>
              <w:rPr>
                <w:rFonts w:hint="eastAsia" w:ascii="宋体" w:hAnsi="宋体" w:eastAsia="宋体" w:cs="宋体"/>
                <w:sz w:val="21"/>
                <w:szCs w:val="21"/>
              </w:rPr>
              <w:sym w:font="Wingdings" w:char="F083"/>
            </w:r>
            <w:r>
              <w:rPr>
                <w:rFonts w:hint="eastAsia" w:ascii="宋体" w:hAnsi="宋体" w:eastAsia="宋体" w:cs="宋体"/>
                <w:sz w:val="21"/>
                <w:szCs w:val="21"/>
              </w:rPr>
              <w:t>开展居住证的发放工作，提供送证上门服务。</w:t>
            </w:r>
          </w:p>
          <w:p w14:paraId="73306005">
            <w:pPr>
              <w:spacing w:line="320" w:lineRule="exact"/>
              <w:rPr>
                <w:rFonts w:ascii="宋体" w:hAnsi="宋体" w:eastAsia="宋体" w:cs="宋体"/>
                <w:sz w:val="21"/>
                <w:szCs w:val="21"/>
              </w:rPr>
            </w:pPr>
            <w:r>
              <w:rPr>
                <w:rFonts w:hint="eastAsia" w:ascii="宋体" w:hAnsi="宋体" w:eastAsia="宋体" w:cs="宋体"/>
                <w:sz w:val="21"/>
                <w:szCs w:val="21"/>
              </w:rPr>
              <w:t>3.协助办理居住证签注手续。审验证明材料，符合规定的，予以签注。</w:t>
            </w:r>
          </w:p>
          <w:p w14:paraId="4A94B115">
            <w:pPr>
              <w:spacing w:line="320" w:lineRule="exact"/>
              <w:rPr>
                <w:rFonts w:ascii="宋体" w:hAnsi="宋体" w:eastAsia="宋体" w:cs="宋体"/>
                <w:sz w:val="21"/>
                <w:szCs w:val="21"/>
              </w:rPr>
            </w:pPr>
            <w:r>
              <w:rPr>
                <w:rFonts w:hint="eastAsia" w:ascii="宋体" w:hAnsi="宋体" w:eastAsia="宋体" w:cs="宋体"/>
                <w:sz w:val="21"/>
                <w:szCs w:val="21"/>
              </w:rPr>
              <w:t>4.协助办理居住证换领补领、变更手续。审验证明材料，符合规定的，办理居住证换领补领、变更手续。</w:t>
            </w:r>
          </w:p>
        </w:tc>
        <w:tc>
          <w:tcPr>
            <w:tcW w:w="1404" w:type="dxa"/>
            <w:tcBorders>
              <w:top w:val="single" w:color="auto" w:sz="4" w:space="0"/>
              <w:left w:val="single" w:color="auto" w:sz="4" w:space="0"/>
              <w:bottom w:val="single" w:color="auto" w:sz="4" w:space="0"/>
              <w:right w:val="single" w:color="auto" w:sz="4" w:space="0"/>
            </w:tcBorders>
            <w:vAlign w:val="center"/>
          </w:tcPr>
          <w:p w14:paraId="4A621961">
            <w:pPr>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《居住证暂行条例》第七条、第八条</w:t>
            </w:r>
          </w:p>
          <w:p w14:paraId="67C1C867">
            <w:pPr>
              <w:spacing w:line="320" w:lineRule="exact"/>
              <w:jc w:val="left"/>
              <w:rPr>
                <w:rFonts w:ascii="宋体" w:hAnsi="宋体" w:eastAsia="宋体" w:cs="宋体"/>
                <w:sz w:val="21"/>
                <w:szCs w:val="21"/>
              </w:rPr>
            </w:pPr>
            <w:r>
              <w:rPr>
                <w:rFonts w:hint="eastAsia" w:ascii="宋体" w:hAnsi="宋体" w:eastAsia="宋体" w:cs="宋体"/>
                <w:sz w:val="21"/>
                <w:szCs w:val="21"/>
              </w:rPr>
              <w:t>《重庆市居住证实施办法》第五条</w:t>
            </w:r>
          </w:p>
        </w:tc>
        <w:tc>
          <w:tcPr>
            <w:tcW w:w="900" w:type="dxa"/>
            <w:tcBorders>
              <w:top w:val="single" w:color="auto" w:sz="4" w:space="0"/>
              <w:left w:val="single" w:color="auto" w:sz="4" w:space="0"/>
              <w:bottom w:val="single" w:color="auto" w:sz="4" w:space="0"/>
              <w:right w:val="single" w:color="auto" w:sz="4" w:space="0"/>
            </w:tcBorders>
            <w:vAlign w:val="center"/>
          </w:tcPr>
          <w:p w14:paraId="08CEC6E9">
            <w:pPr>
              <w:spacing w:line="320" w:lineRule="exact"/>
              <w:jc w:val="left"/>
              <w:rPr>
                <w:rFonts w:ascii="宋体" w:hAnsi="宋体" w:eastAsia="宋体" w:cs="宋体"/>
                <w:sz w:val="21"/>
                <w:szCs w:val="21"/>
              </w:rPr>
            </w:pPr>
            <w:r>
              <w:rPr>
                <w:rFonts w:hint="eastAsia" w:ascii="宋体" w:hAnsi="宋体" w:eastAsia="宋体" w:cs="宋体"/>
                <w:sz w:val="21"/>
                <w:szCs w:val="21"/>
              </w:rPr>
              <w:t>公安部门</w:t>
            </w:r>
          </w:p>
        </w:tc>
        <w:tc>
          <w:tcPr>
            <w:tcW w:w="686" w:type="dxa"/>
            <w:tcBorders>
              <w:top w:val="single" w:color="auto" w:sz="4" w:space="0"/>
              <w:left w:val="single" w:color="auto" w:sz="4" w:space="0"/>
              <w:bottom w:val="single" w:color="auto" w:sz="4" w:space="0"/>
              <w:right w:val="single" w:color="auto" w:sz="4" w:space="0"/>
            </w:tcBorders>
            <w:vAlign w:val="center"/>
          </w:tcPr>
          <w:p w14:paraId="44753184">
            <w:pPr>
              <w:spacing w:line="320" w:lineRule="exact"/>
              <w:rPr>
                <w:rFonts w:ascii="宋体" w:hAnsi="宋体" w:eastAsia="宋体" w:cs="宋体"/>
                <w:sz w:val="21"/>
                <w:szCs w:val="21"/>
              </w:rPr>
            </w:pPr>
          </w:p>
        </w:tc>
      </w:tr>
      <w:tr w14:paraId="3A961BD0">
        <w:tblPrEx>
          <w:tblCellMar>
            <w:top w:w="15" w:type="dxa"/>
            <w:left w:w="15" w:type="dxa"/>
            <w:bottom w:w="15" w:type="dxa"/>
            <w:right w:w="15" w:type="dxa"/>
          </w:tblCellMar>
        </w:tblPrEx>
        <w:trPr>
          <w:trHeight w:val="3110" w:hRule="atLeast"/>
          <w:jc w:val="center"/>
        </w:trPr>
        <w:tc>
          <w:tcPr>
            <w:tcW w:w="808" w:type="dxa"/>
            <w:tcBorders>
              <w:top w:val="single" w:color="auto" w:sz="4" w:space="0"/>
              <w:left w:val="single" w:color="auto" w:sz="4" w:space="0"/>
              <w:bottom w:val="single" w:color="auto" w:sz="4" w:space="0"/>
              <w:right w:val="single" w:color="auto" w:sz="4" w:space="0"/>
            </w:tcBorders>
            <w:vAlign w:val="center"/>
          </w:tcPr>
          <w:p w14:paraId="42750B13">
            <w:pPr>
              <w:spacing w:line="320" w:lineRule="exact"/>
              <w:jc w:val="center"/>
              <w:rPr>
                <w:rFonts w:ascii="宋体" w:hAnsi="宋体" w:eastAsia="宋体" w:cs="宋体"/>
                <w:sz w:val="21"/>
                <w:szCs w:val="21"/>
              </w:rPr>
            </w:pPr>
            <w:r>
              <w:rPr>
                <w:rFonts w:hint="eastAsia" w:ascii="宋体" w:hAnsi="宋体" w:eastAsia="宋体" w:cs="宋体"/>
                <w:sz w:val="21"/>
                <w:szCs w:val="21"/>
              </w:rPr>
              <w:t>4</w:t>
            </w:r>
          </w:p>
        </w:tc>
        <w:tc>
          <w:tcPr>
            <w:tcW w:w="1314" w:type="dxa"/>
            <w:tcBorders>
              <w:top w:val="single" w:color="auto" w:sz="4" w:space="0"/>
              <w:left w:val="single" w:color="auto" w:sz="4" w:space="0"/>
              <w:bottom w:val="single" w:color="auto" w:sz="4" w:space="0"/>
              <w:right w:val="single" w:color="auto" w:sz="4" w:space="0"/>
            </w:tcBorders>
            <w:vAlign w:val="center"/>
          </w:tcPr>
          <w:p w14:paraId="3A7FA582">
            <w:pPr>
              <w:widowControl/>
              <w:spacing w:line="320" w:lineRule="exact"/>
              <w:textAlignment w:val="center"/>
              <w:rPr>
                <w:rFonts w:ascii="宋体" w:hAnsi="宋体" w:eastAsia="宋体" w:cs="宋体"/>
                <w:sz w:val="21"/>
                <w:szCs w:val="21"/>
              </w:rPr>
            </w:pPr>
            <w:r>
              <w:rPr>
                <w:rFonts w:hint="eastAsia" w:ascii="宋体" w:hAnsi="宋体" w:eastAsia="宋体" w:cs="宋体"/>
                <w:kern w:val="0"/>
                <w:sz w:val="21"/>
                <w:szCs w:val="21"/>
              </w:rPr>
              <w:t>协助做好租赁房屋治安管理相关工作</w:t>
            </w:r>
          </w:p>
        </w:tc>
        <w:tc>
          <w:tcPr>
            <w:tcW w:w="1802" w:type="dxa"/>
            <w:tcBorders>
              <w:top w:val="single" w:color="auto" w:sz="4" w:space="0"/>
              <w:left w:val="single" w:color="auto" w:sz="4" w:space="0"/>
              <w:bottom w:val="single" w:color="auto" w:sz="4" w:space="0"/>
              <w:right w:val="single" w:color="auto" w:sz="4" w:space="0"/>
            </w:tcBorders>
            <w:vAlign w:val="center"/>
          </w:tcPr>
          <w:p w14:paraId="2997EAAF">
            <w:pPr>
              <w:widowControl/>
              <w:spacing w:line="320" w:lineRule="exact"/>
              <w:jc w:val="left"/>
              <w:textAlignment w:val="center"/>
              <w:rPr>
                <w:rFonts w:ascii="宋体" w:hAnsi="宋体" w:eastAsia="宋体" w:cs="宋体"/>
                <w:sz w:val="21"/>
                <w:szCs w:val="21"/>
              </w:rPr>
            </w:pPr>
            <w:r>
              <w:rPr>
                <w:rFonts w:hint="eastAsia" w:ascii="宋体" w:hAnsi="宋体" w:eastAsia="宋体" w:cs="宋体"/>
                <w:kern w:val="0"/>
                <w:sz w:val="21"/>
                <w:szCs w:val="21"/>
              </w:rPr>
              <w:t>协助做好租赁房屋的安全防范、法制宣传教育和治安管理工作。</w:t>
            </w:r>
          </w:p>
        </w:tc>
        <w:tc>
          <w:tcPr>
            <w:tcW w:w="7846" w:type="dxa"/>
            <w:tcBorders>
              <w:top w:val="single" w:color="auto" w:sz="4" w:space="0"/>
              <w:left w:val="single" w:color="auto" w:sz="4" w:space="0"/>
              <w:bottom w:val="single" w:color="auto" w:sz="4" w:space="0"/>
              <w:right w:val="single" w:color="auto" w:sz="4" w:space="0"/>
            </w:tcBorders>
            <w:vAlign w:val="center"/>
          </w:tcPr>
          <w:p w14:paraId="4F219CA6">
            <w:pPr>
              <w:numPr>
                <w:ilvl w:val="0"/>
                <w:numId w:val="2"/>
              </w:numPr>
              <w:spacing w:line="320" w:lineRule="exact"/>
              <w:rPr>
                <w:rFonts w:ascii="宋体" w:hAnsi="宋体" w:eastAsia="宋体" w:cs="宋体"/>
                <w:sz w:val="21"/>
                <w:szCs w:val="21"/>
              </w:rPr>
            </w:pPr>
            <w:r>
              <w:rPr>
                <w:rFonts w:hint="eastAsia" w:ascii="宋体" w:hAnsi="宋体" w:eastAsia="宋体" w:cs="宋体"/>
                <w:sz w:val="21"/>
                <w:szCs w:val="21"/>
              </w:rPr>
              <w:t>协助做好租赁房屋的安全防范工作，对租赁房屋进行安全检查，及时发现和排除不安全隐患。</w:t>
            </w:r>
          </w:p>
          <w:p w14:paraId="2217731D">
            <w:pPr>
              <w:numPr>
                <w:ilvl w:val="0"/>
                <w:numId w:val="2"/>
              </w:numPr>
              <w:spacing w:line="320" w:lineRule="exact"/>
              <w:rPr>
                <w:rFonts w:ascii="宋体" w:hAnsi="宋体" w:eastAsia="宋体" w:cs="宋体"/>
                <w:sz w:val="21"/>
                <w:szCs w:val="21"/>
              </w:rPr>
            </w:pPr>
            <w:r>
              <w:rPr>
                <w:rFonts w:hint="eastAsia" w:ascii="宋体" w:hAnsi="宋体" w:eastAsia="宋体" w:cs="宋体"/>
                <w:sz w:val="21"/>
                <w:szCs w:val="21"/>
              </w:rPr>
              <w:t>协助做好租赁房屋管理相关法律法规、政策等的法制宣传教育。</w:t>
            </w:r>
          </w:p>
          <w:p w14:paraId="18D17EF2">
            <w:pPr>
              <w:numPr>
                <w:ilvl w:val="0"/>
                <w:numId w:val="2"/>
              </w:numPr>
              <w:spacing w:line="320" w:lineRule="exact"/>
              <w:rPr>
                <w:rFonts w:ascii="宋体" w:hAnsi="宋体" w:eastAsia="宋体" w:cs="宋体"/>
                <w:sz w:val="21"/>
                <w:szCs w:val="21"/>
              </w:rPr>
            </w:pPr>
            <w:r>
              <w:rPr>
                <w:rFonts w:hint="eastAsia" w:ascii="宋体" w:hAnsi="宋体" w:eastAsia="宋体" w:cs="宋体"/>
                <w:sz w:val="21"/>
                <w:szCs w:val="21"/>
              </w:rPr>
              <w:t>协助做好租赁房屋治安管理工作。</w:t>
            </w:r>
          </w:p>
          <w:p w14:paraId="1FD66766">
            <w:pPr>
              <w:spacing w:line="320" w:lineRule="exact"/>
              <w:rPr>
                <w:rFonts w:ascii="宋体" w:hAnsi="宋体" w:eastAsia="宋体" w:cs="宋体"/>
                <w:sz w:val="21"/>
                <w:szCs w:val="21"/>
              </w:rPr>
            </w:pPr>
            <w:r>
              <w:rPr>
                <w:rFonts w:hint="eastAsia" w:ascii="宋体" w:hAnsi="宋体" w:eastAsia="宋体" w:cs="宋体"/>
                <w:sz w:val="21"/>
                <w:szCs w:val="21"/>
              </w:rPr>
              <w:sym w:font="Wingdings" w:char="F081"/>
            </w:r>
            <w:r>
              <w:rPr>
                <w:rFonts w:hint="eastAsia" w:ascii="宋体" w:hAnsi="宋体" w:eastAsia="宋体" w:cs="宋体"/>
                <w:sz w:val="21"/>
                <w:szCs w:val="21"/>
              </w:rPr>
              <w:t>对租赁房屋信息进行登记，提供上门登记服务。</w:t>
            </w:r>
          </w:p>
          <w:p w14:paraId="345E7EB7">
            <w:pPr>
              <w:spacing w:line="320" w:lineRule="exact"/>
              <w:rPr>
                <w:rFonts w:ascii="宋体" w:hAnsi="宋体" w:eastAsia="宋体" w:cs="宋体"/>
                <w:sz w:val="21"/>
                <w:szCs w:val="21"/>
              </w:rPr>
            </w:pPr>
            <w:r>
              <w:rPr>
                <w:rFonts w:hint="eastAsia" w:ascii="宋体" w:hAnsi="宋体" w:eastAsia="宋体" w:cs="宋体"/>
                <w:sz w:val="21"/>
                <w:szCs w:val="21"/>
              </w:rPr>
              <w:sym w:font="Wingdings" w:char="F082"/>
            </w:r>
            <w:r>
              <w:rPr>
                <w:rFonts w:hint="eastAsia" w:ascii="宋体" w:hAnsi="宋体" w:eastAsia="宋体" w:cs="宋体"/>
                <w:sz w:val="21"/>
                <w:szCs w:val="21"/>
              </w:rPr>
              <w:t>登记租赁房屋出租人信息，核验出租人申请登记材料， 经审核符合相关规定的，引导出租人向公安派出所签订治安责任保证书。</w:t>
            </w:r>
          </w:p>
          <w:p w14:paraId="52C1CD10">
            <w:pPr>
              <w:spacing w:line="320" w:lineRule="exact"/>
              <w:rPr>
                <w:rFonts w:ascii="宋体" w:hAnsi="宋体" w:eastAsia="宋体" w:cs="宋体"/>
                <w:sz w:val="21"/>
                <w:szCs w:val="21"/>
              </w:rPr>
            </w:pPr>
            <w:r>
              <w:rPr>
                <w:rFonts w:hint="eastAsia" w:ascii="宋体" w:hAnsi="宋体" w:eastAsia="宋体" w:cs="宋体"/>
                <w:sz w:val="21"/>
                <w:szCs w:val="21"/>
              </w:rPr>
              <w:sym w:font="Wingdings" w:char="F083"/>
            </w:r>
            <w:r>
              <w:rPr>
                <w:rFonts w:hint="eastAsia" w:ascii="宋体" w:hAnsi="宋体" w:eastAsia="宋体" w:cs="宋体"/>
                <w:sz w:val="21"/>
                <w:szCs w:val="21"/>
              </w:rPr>
              <w:t>登记承租人基本情况，引导承租人申报暂住登记，并对其进行法制宣传及安全教育。</w:t>
            </w:r>
          </w:p>
        </w:tc>
        <w:tc>
          <w:tcPr>
            <w:tcW w:w="1404" w:type="dxa"/>
            <w:tcBorders>
              <w:top w:val="single" w:color="auto" w:sz="4" w:space="0"/>
              <w:left w:val="single" w:color="auto" w:sz="4" w:space="0"/>
              <w:bottom w:val="single" w:color="auto" w:sz="4" w:space="0"/>
              <w:right w:val="single" w:color="auto" w:sz="4" w:space="0"/>
            </w:tcBorders>
            <w:vAlign w:val="center"/>
          </w:tcPr>
          <w:p w14:paraId="523AD6C7">
            <w:pPr>
              <w:spacing w:line="320" w:lineRule="exact"/>
              <w:jc w:val="left"/>
              <w:rPr>
                <w:rFonts w:ascii="宋体" w:hAnsi="宋体" w:eastAsia="宋体" w:cs="宋体"/>
                <w:sz w:val="21"/>
                <w:szCs w:val="21"/>
              </w:rPr>
            </w:pPr>
            <w:r>
              <w:rPr>
                <w:rFonts w:hint="eastAsia" w:ascii="宋体" w:hAnsi="宋体" w:eastAsia="宋体" w:cs="宋体"/>
                <w:sz w:val="21"/>
                <w:szCs w:val="21"/>
              </w:rPr>
              <w:t>《租赁房屋治安管理规定》第四条</w:t>
            </w:r>
          </w:p>
        </w:tc>
        <w:tc>
          <w:tcPr>
            <w:tcW w:w="900" w:type="dxa"/>
            <w:tcBorders>
              <w:top w:val="single" w:color="auto" w:sz="4" w:space="0"/>
              <w:left w:val="single" w:color="auto" w:sz="4" w:space="0"/>
              <w:bottom w:val="single" w:color="auto" w:sz="4" w:space="0"/>
              <w:right w:val="single" w:color="auto" w:sz="4" w:space="0"/>
            </w:tcBorders>
            <w:vAlign w:val="center"/>
          </w:tcPr>
          <w:p w14:paraId="42EE6290">
            <w:pPr>
              <w:spacing w:line="320" w:lineRule="exact"/>
              <w:jc w:val="left"/>
              <w:rPr>
                <w:rFonts w:ascii="宋体" w:hAnsi="宋体" w:eastAsia="宋体" w:cs="宋体"/>
                <w:sz w:val="21"/>
                <w:szCs w:val="21"/>
              </w:rPr>
            </w:pPr>
            <w:r>
              <w:rPr>
                <w:rFonts w:hint="eastAsia" w:ascii="宋体" w:hAnsi="宋体" w:eastAsia="宋体" w:cs="宋体"/>
                <w:sz w:val="21"/>
                <w:szCs w:val="21"/>
              </w:rPr>
              <w:t>公安部门</w:t>
            </w:r>
          </w:p>
        </w:tc>
        <w:tc>
          <w:tcPr>
            <w:tcW w:w="686" w:type="dxa"/>
            <w:tcBorders>
              <w:top w:val="single" w:color="auto" w:sz="4" w:space="0"/>
              <w:left w:val="single" w:color="auto" w:sz="4" w:space="0"/>
              <w:bottom w:val="single" w:color="auto" w:sz="4" w:space="0"/>
              <w:right w:val="single" w:color="auto" w:sz="4" w:space="0"/>
            </w:tcBorders>
            <w:vAlign w:val="center"/>
          </w:tcPr>
          <w:p w14:paraId="7F0CDB95">
            <w:pPr>
              <w:spacing w:line="320" w:lineRule="exact"/>
              <w:rPr>
                <w:rFonts w:ascii="宋体" w:hAnsi="宋体" w:eastAsia="宋体" w:cs="宋体"/>
                <w:sz w:val="21"/>
                <w:szCs w:val="21"/>
              </w:rPr>
            </w:pPr>
          </w:p>
        </w:tc>
      </w:tr>
      <w:tr w14:paraId="67E25878">
        <w:tblPrEx>
          <w:tblCellMar>
            <w:top w:w="15" w:type="dxa"/>
            <w:left w:w="15" w:type="dxa"/>
            <w:bottom w:w="15" w:type="dxa"/>
            <w:right w:w="15" w:type="dxa"/>
          </w:tblCellMar>
        </w:tblPrEx>
        <w:trPr>
          <w:trHeight w:val="2359" w:hRule="atLeast"/>
          <w:jc w:val="center"/>
        </w:trPr>
        <w:tc>
          <w:tcPr>
            <w:tcW w:w="808" w:type="dxa"/>
            <w:tcBorders>
              <w:top w:val="single" w:color="auto" w:sz="4" w:space="0"/>
              <w:left w:val="single" w:color="auto" w:sz="4" w:space="0"/>
              <w:bottom w:val="single" w:color="auto" w:sz="4" w:space="0"/>
              <w:right w:val="single" w:color="auto" w:sz="4" w:space="0"/>
            </w:tcBorders>
            <w:vAlign w:val="center"/>
          </w:tcPr>
          <w:p w14:paraId="76A26B62">
            <w:pPr>
              <w:spacing w:line="320" w:lineRule="exact"/>
              <w:jc w:val="center"/>
              <w:rPr>
                <w:rFonts w:ascii="宋体" w:hAnsi="宋体" w:eastAsia="宋体" w:cs="宋体"/>
                <w:sz w:val="21"/>
                <w:szCs w:val="21"/>
              </w:rPr>
            </w:pPr>
            <w:r>
              <w:rPr>
                <w:rFonts w:hint="eastAsia" w:ascii="宋体" w:hAnsi="宋体" w:eastAsia="宋体" w:cs="宋体"/>
                <w:sz w:val="21"/>
                <w:szCs w:val="21"/>
              </w:rPr>
              <w:t>5</w:t>
            </w:r>
          </w:p>
        </w:tc>
        <w:tc>
          <w:tcPr>
            <w:tcW w:w="1314" w:type="dxa"/>
            <w:tcBorders>
              <w:top w:val="single" w:color="auto" w:sz="4" w:space="0"/>
              <w:left w:val="single" w:color="auto" w:sz="4" w:space="0"/>
              <w:bottom w:val="single" w:color="auto" w:sz="4" w:space="0"/>
              <w:right w:val="single" w:color="auto" w:sz="4" w:space="0"/>
            </w:tcBorders>
            <w:vAlign w:val="center"/>
          </w:tcPr>
          <w:p w14:paraId="20F1B952">
            <w:pPr>
              <w:widowControl/>
              <w:spacing w:line="320" w:lineRule="exact"/>
              <w:textAlignment w:val="center"/>
              <w:rPr>
                <w:rFonts w:ascii="宋体" w:hAnsi="宋体" w:eastAsia="宋体" w:cs="宋体"/>
                <w:sz w:val="21"/>
                <w:szCs w:val="21"/>
              </w:rPr>
            </w:pPr>
            <w:r>
              <w:rPr>
                <w:rFonts w:hint="eastAsia" w:ascii="宋体" w:hAnsi="宋体" w:eastAsia="宋体" w:cs="宋体"/>
                <w:kern w:val="0"/>
                <w:sz w:val="21"/>
                <w:szCs w:val="21"/>
              </w:rPr>
              <w:t>协助做好暂住人口的治安管理工作</w:t>
            </w:r>
          </w:p>
        </w:tc>
        <w:tc>
          <w:tcPr>
            <w:tcW w:w="1802" w:type="dxa"/>
            <w:tcBorders>
              <w:top w:val="single" w:color="auto" w:sz="4" w:space="0"/>
              <w:left w:val="single" w:color="auto" w:sz="4" w:space="0"/>
              <w:bottom w:val="single" w:color="auto" w:sz="4" w:space="0"/>
              <w:right w:val="single" w:color="auto" w:sz="4" w:space="0"/>
            </w:tcBorders>
            <w:vAlign w:val="center"/>
          </w:tcPr>
          <w:p w14:paraId="6A8938D4">
            <w:pPr>
              <w:autoSpaceDN w:val="0"/>
              <w:spacing w:line="320" w:lineRule="exact"/>
              <w:textAlignment w:val="center"/>
              <w:rPr>
                <w:rFonts w:ascii="宋体" w:hAnsi="宋体" w:eastAsia="宋体" w:cs="宋体"/>
                <w:color w:val="000000"/>
                <w:sz w:val="21"/>
                <w:szCs w:val="21"/>
              </w:rPr>
            </w:pPr>
            <w:r>
              <w:rPr>
                <w:rFonts w:hint="eastAsia" w:ascii="宋体" w:hAnsi="宋体" w:eastAsia="宋体" w:cs="宋体"/>
                <w:color w:val="000000"/>
                <w:sz w:val="21"/>
                <w:szCs w:val="21"/>
              </w:rPr>
              <w:t>协助做好暂住人口的治安管理工作。</w:t>
            </w:r>
          </w:p>
        </w:tc>
        <w:tc>
          <w:tcPr>
            <w:tcW w:w="7846" w:type="dxa"/>
            <w:tcBorders>
              <w:top w:val="single" w:color="auto" w:sz="4" w:space="0"/>
              <w:left w:val="single" w:color="auto" w:sz="4" w:space="0"/>
              <w:bottom w:val="single" w:color="auto" w:sz="4" w:space="0"/>
              <w:right w:val="single" w:color="auto" w:sz="4" w:space="0"/>
            </w:tcBorders>
            <w:vAlign w:val="center"/>
          </w:tcPr>
          <w:p w14:paraId="0464B2B7">
            <w:pPr>
              <w:numPr>
                <w:ilvl w:val="0"/>
                <w:numId w:val="3"/>
              </w:numPr>
              <w:autoSpaceDN w:val="0"/>
              <w:spacing w:line="320" w:lineRule="exact"/>
              <w:textAlignment w:val="center"/>
              <w:rPr>
                <w:rFonts w:ascii="宋体" w:hAnsi="宋体" w:eastAsia="宋体" w:cs="宋体"/>
                <w:sz w:val="21"/>
                <w:szCs w:val="21"/>
              </w:rPr>
            </w:pPr>
            <w:r>
              <w:rPr>
                <w:rFonts w:hint="eastAsia" w:ascii="宋体" w:hAnsi="宋体" w:eastAsia="宋体" w:cs="宋体"/>
                <w:sz w:val="21"/>
                <w:szCs w:val="21"/>
              </w:rPr>
              <w:t>协助开展暂住人口登记，信息采集工作，提供上门登记服务。</w:t>
            </w:r>
          </w:p>
          <w:p w14:paraId="79A264ED">
            <w:pPr>
              <w:numPr>
                <w:ilvl w:val="0"/>
                <w:numId w:val="3"/>
              </w:numPr>
              <w:autoSpaceDN w:val="0"/>
              <w:spacing w:line="320" w:lineRule="exact"/>
              <w:textAlignment w:val="center"/>
              <w:rPr>
                <w:rFonts w:ascii="宋体" w:hAnsi="宋体" w:eastAsia="宋体" w:cs="宋体"/>
                <w:sz w:val="21"/>
                <w:szCs w:val="21"/>
              </w:rPr>
            </w:pPr>
            <w:r>
              <w:rPr>
                <w:rFonts w:hint="eastAsia" w:ascii="宋体" w:hAnsi="宋体" w:eastAsia="宋体" w:cs="宋体"/>
                <w:sz w:val="21"/>
                <w:szCs w:val="21"/>
              </w:rPr>
              <w:t>协助检查、督促有关单位和责任人落实暂住人口管理责任和措施。</w:t>
            </w:r>
          </w:p>
          <w:p w14:paraId="5FFEADF6">
            <w:pPr>
              <w:numPr>
                <w:ilvl w:val="0"/>
                <w:numId w:val="3"/>
              </w:numPr>
              <w:autoSpaceDN w:val="0"/>
              <w:spacing w:line="320" w:lineRule="exact"/>
              <w:textAlignment w:val="center"/>
              <w:rPr>
                <w:rFonts w:ascii="宋体" w:hAnsi="宋体" w:eastAsia="宋体" w:cs="宋体"/>
                <w:sz w:val="21"/>
                <w:szCs w:val="21"/>
              </w:rPr>
            </w:pPr>
            <w:r>
              <w:rPr>
                <w:rFonts w:hint="eastAsia" w:ascii="宋体" w:hAnsi="宋体" w:eastAsia="宋体" w:cs="宋体"/>
                <w:sz w:val="21"/>
                <w:szCs w:val="21"/>
              </w:rPr>
              <w:t>协助开展暂住人口管理相关法律法规、政策宣传，对暂住人口进行遵纪守法、社会公德教育。</w:t>
            </w:r>
          </w:p>
          <w:p w14:paraId="4D011FB9">
            <w:pPr>
              <w:numPr>
                <w:ilvl w:val="0"/>
                <w:numId w:val="3"/>
              </w:numPr>
              <w:autoSpaceDN w:val="0"/>
              <w:spacing w:line="320" w:lineRule="exact"/>
              <w:textAlignment w:val="center"/>
              <w:rPr>
                <w:rFonts w:ascii="宋体" w:hAnsi="宋体" w:eastAsia="宋体" w:cs="宋体"/>
                <w:sz w:val="21"/>
                <w:szCs w:val="21"/>
              </w:rPr>
            </w:pPr>
            <w:r>
              <w:rPr>
                <w:rFonts w:hint="eastAsia" w:ascii="宋体" w:hAnsi="宋体" w:eastAsia="宋体" w:cs="宋体"/>
                <w:sz w:val="21"/>
                <w:szCs w:val="21"/>
              </w:rPr>
              <w:t xml:space="preserve">协助做好流动人口服务和管理工作，接受相关咨询、提供信息，办理相关手续。 </w:t>
            </w:r>
            <w:r>
              <w:rPr>
                <w:rFonts w:hint="eastAsia" w:ascii="宋体" w:hAnsi="宋体" w:eastAsia="宋体" w:cs="宋体"/>
                <w:sz w:val="21"/>
                <w:szCs w:val="21"/>
              </w:rPr>
              <w:br w:type="textWrapping"/>
            </w:r>
            <w:r>
              <w:rPr>
                <w:rFonts w:hint="eastAsia" w:ascii="宋体" w:hAnsi="宋体" w:eastAsia="宋体" w:cs="宋体"/>
                <w:sz w:val="21"/>
                <w:szCs w:val="21"/>
              </w:rPr>
              <w:t>5.协助适时开展流动人口聚集区的专项清理整治，及时发现和掌握流动人口中违法犯罪线索。</w:t>
            </w:r>
          </w:p>
        </w:tc>
        <w:tc>
          <w:tcPr>
            <w:tcW w:w="1404" w:type="dxa"/>
            <w:tcBorders>
              <w:top w:val="single" w:color="auto" w:sz="4" w:space="0"/>
              <w:left w:val="single" w:color="auto" w:sz="4" w:space="0"/>
              <w:bottom w:val="single" w:color="auto" w:sz="4" w:space="0"/>
              <w:right w:val="single" w:color="auto" w:sz="4" w:space="0"/>
            </w:tcBorders>
            <w:vAlign w:val="center"/>
          </w:tcPr>
          <w:p w14:paraId="672DFDA7">
            <w:pPr>
              <w:autoSpaceDN w:val="0"/>
              <w:spacing w:line="320" w:lineRule="exact"/>
              <w:textAlignment w:val="center"/>
              <w:rPr>
                <w:rFonts w:ascii="宋体" w:hAnsi="宋体" w:eastAsia="宋体" w:cs="宋体"/>
                <w:sz w:val="21"/>
                <w:szCs w:val="21"/>
              </w:rPr>
            </w:pPr>
            <w:r>
              <w:rPr>
                <w:rFonts w:hint="eastAsia" w:ascii="宋体" w:hAnsi="宋体" w:eastAsia="宋体" w:cs="宋体"/>
                <w:sz w:val="21"/>
                <w:szCs w:val="21"/>
              </w:rPr>
              <w:t>《居住证暂行条例》第七条</w:t>
            </w:r>
          </w:p>
          <w:p w14:paraId="39552871">
            <w:pPr>
              <w:autoSpaceDN w:val="0"/>
              <w:spacing w:line="320" w:lineRule="exact"/>
              <w:textAlignment w:val="center"/>
              <w:rPr>
                <w:rFonts w:ascii="宋体" w:hAnsi="宋体" w:eastAsia="宋体" w:cs="宋体"/>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117E807E">
            <w:pPr>
              <w:spacing w:line="320" w:lineRule="exact"/>
              <w:jc w:val="left"/>
              <w:rPr>
                <w:rFonts w:ascii="宋体" w:hAnsi="宋体" w:eastAsia="宋体" w:cs="宋体"/>
                <w:sz w:val="21"/>
                <w:szCs w:val="21"/>
              </w:rPr>
            </w:pPr>
            <w:r>
              <w:rPr>
                <w:rFonts w:hint="eastAsia" w:ascii="宋体" w:hAnsi="宋体" w:eastAsia="宋体" w:cs="宋体"/>
                <w:sz w:val="21"/>
                <w:szCs w:val="21"/>
              </w:rPr>
              <w:t>公安部门</w:t>
            </w:r>
          </w:p>
        </w:tc>
        <w:tc>
          <w:tcPr>
            <w:tcW w:w="686" w:type="dxa"/>
            <w:tcBorders>
              <w:top w:val="single" w:color="auto" w:sz="4" w:space="0"/>
              <w:left w:val="single" w:color="auto" w:sz="4" w:space="0"/>
              <w:bottom w:val="single" w:color="auto" w:sz="4" w:space="0"/>
              <w:right w:val="single" w:color="auto" w:sz="4" w:space="0"/>
            </w:tcBorders>
            <w:vAlign w:val="center"/>
          </w:tcPr>
          <w:p w14:paraId="396E15E3">
            <w:pPr>
              <w:spacing w:line="320" w:lineRule="exact"/>
              <w:rPr>
                <w:rFonts w:ascii="宋体" w:hAnsi="宋体" w:eastAsia="宋体" w:cs="宋体"/>
                <w:sz w:val="21"/>
                <w:szCs w:val="21"/>
              </w:rPr>
            </w:pPr>
          </w:p>
        </w:tc>
      </w:tr>
      <w:tr w14:paraId="2CD21E64">
        <w:tblPrEx>
          <w:tblCellMar>
            <w:top w:w="15" w:type="dxa"/>
            <w:left w:w="15" w:type="dxa"/>
            <w:bottom w:w="15" w:type="dxa"/>
            <w:right w:w="15" w:type="dxa"/>
          </w:tblCellMar>
        </w:tblPrEx>
        <w:trPr>
          <w:trHeight w:val="3370" w:hRule="atLeast"/>
          <w:jc w:val="center"/>
        </w:trPr>
        <w:tc>
          <w:tcPr>
            <w:tcW w:w="808" w:type="dxa"/>
            <w:tcBorders>
              <w:top w:val="single" w:color="auto" w:sz="4" w:space="0"/>
              <w:left w:val="single" w:color="auto" w:sz="4" w:space="0"/>
              <w:bottom w:val="single" w:color="auto" w:sz="4" w:space="0"/>
              <w:right w:val="single" w:color="auto" w:sz="4" w:space="0"/>
            </w:tcBorders>
            <w:vAlign w:val="center"/>
          </w:tcPr>
          <w:p w14:paraId="648FADEB">
            <w:pPr>
              <w:spacing w:line="320" w:lineRule="exact"/>
              <w:jc w:val="center"/>
              <w:rPr>
                <w:rFonts w:ascii="宋体" w:hAnsi="宋体" w:eastAsia="宋体" w:cs="宋体"/>
                <w:sz w:val="21"/>
                <w:szCs w:val="21"/>
              </w:rPr>
            </w:pPr>
            <w:r>
              <w:rPr>
                <w:rFonts w:hint="eastAsia" w:ascii="宋体" w:hAnsi="宋体" w:eastAsia="宋体" w:cs="宋体"/>
                <w:sz w:val="21"/>
                <w:szCs w:val="21"/>
              </w:rPr>
              <w:t>6</w:t>
            </w:r>
          </w:p>
        </w:tc>
        <w:tc>
          <w:tcPr>
            <w:tcW w:w="1314" w:type="dxa"/>
            <w:tcBorders>
              <w:top w:val="single" w:color="auto" w:sz="4" w:space="0"/>
              <w:left w:val="single" w:color="auto" w:sz="4" w:space="0"/>
              <w:bottom w:val="single" w:color="auto" w:sz="4" w:space="0"/>
              <w:right w:val="single" w:color="auto" w:sz="4" w:space="0"/>
            </w:tcBorders>
            <w:vAlign w:val="center"/>
          </w:tcPr>
          <w:p w14:paraId="086640E7">
            <w:pPr>
              <w:widowControl/>
              <w:spacing w:line="320" w:lineRule="exact"/>
              <w:textAlignment w:val="center"/>
              <w:rPr>
                <w:rFonts w:ascii="宋体" w:hAnsi="宋体" w:eastAsia="宋体" w:cs="宋体"/>
                <w:sz w:val="21"/>
                <w:szCs w:val="21"/>
              </w:rPr>
            </w:pPr>
            <w:r>
              <w:rPr>
                <w:rFonts w:hint="eastAsia" w:ascii="宋体" w:hAnsi="宋体" w:eastAsia="宋体" w:cs="宋体"/>
                <w:kern w:val="0"/>
                <w:sz w:val="21"/>
                <w:szCs w:val="21"/>
              </w:rPr>
              <w:t>协助开展禁毒宣传、落实禁毒防范措施</w:t>
            </w:r>
          </w:p>
        </w:tc>
        <w:tc>
          <w:tcPr>
            <w:tcW w:w="1802" w:type="dxa"/>
            <w:tcBorders>
              <w:top w:val="single" w:color="auto" w:sz="4" w:space="0"/>
              <w:left w:val="single" w:color="auto" w:sz="4" w:space="0"/>
              <w:bottom w:val="single" w:color="auto" w:sz="4" w:space="0"/>
              <w:right w:val="single" w:color="auto" w:sz="4" w:space="0"/>
            </w:tcBorders>
            <w:vAlign w:val="center"/>
          </w:tcPr>
          <w:p w14:paraId="3010F8E3">
            <w:pPr>
              <w:widowControl/>
              <w:spacing w:line="320" w:lineRule="exact"/>
              <w:jc w:val="left"/>
              <w:textAlignment w:val="center"/>
              <w:rPr>
                <w:rFonts w:ascii="宋体" w:hAnsi="宋体" w:eastAsia="宋体" w:cs="宋体"/>
                <w:sz w:val="21"/>
                <w:szCs w:val="21"/>
              </w:rPr>
            </w:pPr>
            <w:r>
              <w:rPr>
                <w:rFonts w:hint="eastAsia" w:ascii="宋体" w:hAnsi="宋体" w:eastAsia="宋体" w:cs="宋体"/>
                <w:kern w:val="0"/>
                <w:sz w:val="21"/>
                <w:szCs w:val="21"/>
              </w:rPr>
              <w:t>协助开展禁毒宣传教育、落实禁毒防范措施；协助开展毒品预防、社区戒毒、社区康复、吸毒人员动态管控等工作；发现非法种植毒品原植物的，应当及时予以制止、铲除和报告。</w:t>
            </w:r>
          </w:p>
        </w:tc>
        <w:tc>
          <w:tcPr>
            <w:tcW w:w="7846" w:type="dxa"/>
            <w:tcBorders>
              <w:top w:val="single" w:color="auto" w:sz="4" w:space="0"/>
              <w:left w:val="single" w:color="auto" w:sz="4" w:space="0"/>
              <w:bottom w:val="single" w:color="auto" w:sz="4" w:space="0"/>
              <w:right w:val="single" w:color="auto" w:sz="4" w:space="0"/>
            </w:tcBorders>
            <w:vAlign w:val="center"/>
          </w:tcPr>
          <w:p w14:paraId="71505A7F">
            <w:pPr>
              <w:autoSpaceDN w:val="0"/>
              <w:spacing w:line="320" w:lineRule="exact"/>
              <w:textAlignment w:val="center"/>
              <w:rPr>
                <w:rFonts w:ascii="宋体" w:hAnsi="宋体" w:eastAsia="宋体" w:cs="宋体"/>
                <w:sz w:val="21"/>
                <w:szCs w:val="21"/>
              </w:rPr>
            </w:pPr>
            <w:r>
              <w:rPr>
                <w:rFonts w:hint="eastAsia" w:ascii="宋体" w:hAnsi="宋体" w:eastAsia="宋体" w:cs="宋体"/>
                <w:sz w:val="21"/>
                <w:szCs w:val="21"/>
              </w:rPr>
              <w:t>1.通过张贴宣传海报，发放宣传资料，宣讲法律政策等方式，协助开展毒品预防宣传教育活动进家庭、进社区、进农村等。</w:t>
            </w:r>
          </w:p>
          <w:p w14:paraId="4DB2C0CC">
            <w:pPr>
              <w:autoSpaceDN w:val="0"/>
              <w:spacing w:line="320" w:lineRule="exact"/>
              <w:textAlignment w:val="center"/>
              <w:rPr>
                <w:rFonts w:ascii="宋体" w:hAnsi="宋体" w:eastAsia="宋体" w:cs="宋体"/>
                <w:sz w:val="21"/>
                <w:szCs w:val="21"/>
              </w:rPr>
            </w:pPr>
            <w:r>
              <w:rPr>
                <w:rFonts w:hint="eastAsia" w:ascii="宋体" w:hAnsi="宋体" w:eastAsia="宋体" w:cs="宋体"/>
                <w:sz w:val="21"/>
                <w:szCs w:val="21"/>
              </w:rPr>
              <w:t>2.协助开展戒毒康复人员帮教劝诫、戒毒知识辅导、心理疏导、家庭关系及社会关系修复、家访（谈话）、就业安置、分级分类评估等工作。</w:t>
            </w:r>
          </w:p>
          <w:p w14:paraId="57CB81C1">
            <w:pPr>
              <w:autoSpaceDN w:val="0"/>
              <w:spacing w:line="320" w:lineRule="exact"/>
              <w:textAlignment w:val="center"/>
              <w:rPr>
                <w:rFonts w:ascii="宋体" w:hAnsi="宋体" w:eastAsia="宋体" w:cs="宋体"/>
                <w:sz w:val="21"/>
                <w:szCs w:val="21"/>
              </w:rPr>
            </w:pPr>
            <w:r>
              <w:rPr>
                <w:rFonts w:hint="eastAsia" w:ascii="宋体" w:hAnsi="宋体" w:eastAsia="宋体" w:cs="宋体"/>
                <w:sz w:val="21"/>
                <w:szCs w:val="21"/>
              </w:rPr>
              <w:t xml:space="preserve">3.摸排掌握辖区吸毒人员信息，了解吸毒人员动态情况，及时上报可能影响社会稳定、社会治安方面的风险隐患信息。                      </w:t>
            </w:r>
          </w:p>
          <w:p w14:paraId="18023CA8">
            <w:pPr>
              <w:autoSpaceDN w:val="0"/>
              <w:spacing w:line="320" w:lineRule="exact"/>
              <w:textAlignment w:val="center"/>
              <w:rPr>
                <w:rFonts w:ascii="宋体" w:hAnsi="宋体" w:eastAsia="宋体" w:cs="宋体"/>
                <w:sz w:val="21"/>
                <w:szCs w:val="21"/>
              </w:rPr>
            </w:pPr>
            <w:r>
              <w:rPr>
                <w:rFonts w:hint="eastAsia" w:ascii="宋体" w:hAnsi="宋体" w:eastAsia="宋体" w:cs="宋体"/>
                <w:sz w:val="21"/>
                <w:szCs w:val="21"/>
              </w:rPr>
              <w:t>4.学习掌握毒品原植物特征，做到及时发现；发现有非法种植毒品原植物及销售毒品原植物种子行为的，及时向公安机关报告。</w:t>
            </w:r>
          </w:p>
        </w:tc>
        <w:tc>
          <w:tcPr>
            <w:tcW w:w="1404" w:type="dxa"/>
            <w:tcBorders>
              <w:top w:val="single" w:color="auto" w:sz="4" w:space="0"/>
              <w:left w:val="single" w:color="auto" w:sz="4" w:space="0"/>
              <w:bottom w:val="single" w:color="auto" w:sz="4" w:space="0"/>
              <w:right w:val="single" w:color="auto" w:sz="4" w:space="0"/>
            </w:tcBorders>
            <w:vAlign w:val="center"/>
          </w:tcPr>
          <w:p w14:paraId="242334B7">
            <w:pPr>
              <w:autoSpaceDN w:val="0"/>
              <w:spacing w:line="320" w:lineRule="exact"/>
              <w:jc w:val="left"/>
              <w:textAlignment w:val="center"/>
              <w:rPr>
                <w:rFonts w:ascii="宋体" w:hAnsi="宋体" w:eastAsia="宋体" w:cs="宋体"/>
                <w:sz w:val="21"/>
                <w:szCs w:val="21"/>
              </w:rPr>
            </w:pPr>
            <w:r>
              <w:rPr>
                <w:rFonts w:hint="eastAsia" w:ascii="宋体" w:hAnsi="宋体" w:eastAsia="宋体" w:cs="宋体"/>
                <w:sz w:val="21"/>
                <w:szCs w:val="21"/>
              </w:rPr>
              <w:t>《中华人民共和国禁毒法》第十七条、第十九条</w:t>
            </w:r>
          </w:p>
          <w:p w14:paraId="0BD6CD9F">
            <w:pPr>
              <w:autoSpaceDN w:val="0"/>
              <w:spacing w:line="320" w:lineRule="exact"/>
              <w:jc w:val="left"/>
              <w:textAlignment w:val="center"/>
              <w:rPr>
                <w:rFonts w:ascii="宋体" w:hAnsi="宋体" w:eastAsia="宋体" w:cs="宋体"/>
                <w:sz w:val="21"/>
                <w:szCs w:val="21"/>
              </w:rPr>
            </w:pPr>
            <w:r>
              <w:rPr>
                <w:rFonts w:hint="eastAsia" w:ascii="宋体" w:hAnsi="宋体" w:eastAsia="宋体" w:cs="宋体"/>
                <w:sz w:val="21"/>
                <w:szCs w:val="21"/>
              </w:rPr>
              <w:t>《重庆市禁毒条例》第九条</w:t>
            </w:r>
          </w:p>
        </w:tc>
        <w:tc>
          <w:tcPr>
            <w:tcW w:w="900" w:type="dxa"/>
            <w:tcBorders>
              <w:top w:val="single" w:color="auto" w:sz="4" w:space="0"/>
              <w:left w:val="single" w:color="auto" w:sz="4" w:space="0"/>
              <w:bottom w:val="single" w:color="auto" w:sz="4" w:space="0"/>
              <w:right w:val="single" w:color="auto" w:sz="4" w:space="0"/>
            </w:tcBorders>
            <w:vAlign w:val="center"/>
          </w:tcPr>
          <w:p w14:paraId="68CB5FA5">
            <w:pPr>
              <w:autoSpaceDN w:val="0"/>
              <w:spacing w:line="320" w:lineRule="exact"/>
              <w:jc w:val="left"/>
              <w:textAlignment w:val="center"/>
              <w:rPr>
                <w:rFonts w:ascii="宋体" w:hAnsi="宋体" w:eastAsia="宋体" w:cs="宋体"/>
                <w:sz w:val="21"/>
                <w:szCs w:val="21"/>
              </w:rPr>
            </w:pPr>
            <w:r>
              <w:rPr>
                <w:rFonts w:hint="eastAsia" w:ascii="宋体" w:hAnsi="宋体" w:eastAsia="宋体" w:cs="宋体"/>
                <w:sz w:val="21"/>
                <w:szCs w:val="21"/>
              </w:rPr>
              <w:t>公安部门</w:t>
            </w:r>
          </w:p>
        </w:tc>
        <w:tc>
          <w:tcPr>
            <w:tcW w:w="686" w:type="dxa"/>
            <w:tcBorders>
              <w:top w:val="single" w:color="auto" w:sz="4" w:space="0"/>
              <w:left w:val="single" w:color="auto" w:sz="4" w:space="0"/>
              <w:bottom w:val="single" w:color="auto" w:sz="4" w:space="0"/>
              <w:right w:val="single" w:color="auto" w:sz="4" w:space="0"/>
            </w:tcBorders>
            <w:vAlign w:val="center"/>
          </w:tcPr>
          <w:p w14:paraId="2CF07D3E">
            <w:pPr>
              <w:spacing w:line="320" w:lineRule="exact"/>
              <w:rPr>
                <w:rFonts w:ascii="宋体" w:hAnsi="宋体" w:eastAsia="宋体" w:cs="宋体"/>
                <w:sz w:val="21"/>
                <w:szCs w:val="21"/>
              </w:rPr>
            </w:pPr>
          </w:p>
        </w:tc>
      </w:tr>
      <w:tr w14:paraId="7CEA82E0">
        <w:tblPrEx>
          <w:tblCellMar>
            <w:top w:w="15" w:type="dxa"/>
            <w:left w:w="15" w:type="dxa"/>
            <w:bottom w:w="15" w:type="dxa"/>
            <w:right w:w="15" w:type="dxa"/>
          </w:tblCellMar>
        </w:tblPrEx>
        <w:trPr>
          <w:trHeight w:val="3035" w:hRule="atLeast"/>
          <w:jc w:val="center"/>
        </w:trPr>
        <w:tc>
          <w:tcPr>
            <w:tcW w:w="808" w:type="dxa"/>
            <w:tcBorders>
              <w:top w:val="single" w:color="auto" w:sz="4" w:space="0"/>
              <w:left w:val="single" w:color="auto" w:sz="4" w:space="0"/>
              <w:bottom w:val="single" w:color="auto" w:sz="4" w:space="0"/>
              <w:right w:val="single" w:color="auto" w:sz="4" w:space="0"/>
            </w:tcBorders>
            <w:vAlign w:val="center"/>
          </w:tcPr>
          <w:p w14:paraId="5B0D2A70">
            <w:pPr>
              <w:spacing w:line="320" w:lineRule="exact"/>
              <w:jc w:val="center"/>
              <w:rPr>
                <w:rFonts w:hint="eastAsia" w:ascii="宋体" w:hAnsi="宋体" w:eastAsia="宋体" w:cs="宋体"/>
                <w:sz w:val="21"/>
                <w:szCs w:val="21"/>
              </w:rPr>
            </w:pPr>
          </w:p>
          <w:p w14:paraId="18E0B463">
            <w:pPr>
              <w:spacing w:line="320" w:lineRule="exact"/>
              <w:jc w:val="center"/>
              <w:rPr>
                <w:rFonts w:hint="eastAsia" w:ascii="宋体" w:hAnsi="宋体" w:eastAsia="宋体" w:cs="宋体"/>
                <w:sz w:val="21"/>
                <w:szCs w:val="21"/>
              </w:rPr>
            </w:pPr>
          </w:p>
          <w:p w14:paraId="0A9C9F66">
            <w:pPr>
              <w:spacing w:line="320" w:lineRule="exact"/>
              <w:jc w:val="center"/>
              <w:rPr>
                <w:rFonts w:hint="eastAsia" w:ascii="宋体" w:hAnsi="宋体" w:eastAsia="宋体" w:cs="宋体"/>
                <w:sz w:val="21"/>
                <w:szCs w:val="21"/>
              </w:rPr>
            </w:pPr>
          </w:p>
          <w:p w14:paraId="0AB01236">
            <w:pPr>
              <w:spacing w:line="320" w:lineRule="exact"/>
              <w:jc w:val="center"/>
              <w:rPr>
                <w:rFonts w:hint="eastAsia" w:ascii="宋体" w:hAnsi="宋体" w:eastAsia="宋体" w:cs="宋体"/>
                <w:sz w:val="21"/>
                <w:szCs w:val="21"/>
              </w:rPr>
            </w:pPr>
          </w:p>
          <w:p w14:paraId="356A8041">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7</w:t>
            </w:r>
          </w:p>
          <w:p w14:paraId="1E5B04DD">
            <w:pPr>
              <w:spacing w:line="320" w:lineRule="exact"/>
              <w:jc w:val="center"/>
              <w:rPr>
                <w:rFonts w:ascii="宋体" w:hAnsi="宋体" w:eastAsia="宋体" w:cs="宋体"/>
                <w:sz w:val="21"/>
                <w:szCs w:val="21"/>
              </w:rPr>
            </w:pPr>
          </w:p>
        </w:tc>
        <w:tc>
          <w:tcPr>
            <w:tcW w:w="1314" w:type="dxa"/>
            <w:tcBorders>
              <w:top w:val="single" w:color="auto" w:sz="4" w:space="0"/>
              <w:left w:val="single" w:color="auto" w:sz="4" w:space="0"/>
              <w:bottom w:val="single" w:color="auto" w:sz="4" w:space="0"/>
              <w:right w:val="single" w:color="auto" w:sz="4" w:space="0"/>
            </w:tcBorders>
            <w:vAlign w:val="center"/>
          </w:tcPr>
          <w:p w14:paraId="7B07B6B2">
            <w:pPr>
              <w:widowControl/>
              <w:spacing w:line="320" w:lineRule="exact"/>
              <w:textAlignment w:val="center"/>
              <w:rPr>
                <w:rFonts w:ascii="宋体" w:hAnsi="宋体" w:eastAsia="宋体" w:cs="宋体"/>
                <w:sz w:val="21"/>
                <w:szCs w:val="21"/>
              </w:rPr>
            </w:pPr>
            <w:r>
              <w:rPr>
                <w:rFonts w:hint="eastAsia" w:ascii="宋体" w:hAnsi="宋体" w:eastAsia="宋体" w:cs="宋体"/>
                <w:kern w:val="0"/>
                <w:sz w:val="21"/>
                <w:szCs w:val="21"/>
              </w:rPr>
              <w:t>协助开展消防宣传教育</w:t>
            </w:r>
          </w:p>
        </w:tc>
        <w:tc>
          <w:tcPr>
            <w:tcW w:w="1802" w:type="dxa"/>
            <w:tcBorders>
              <w:top w:val="single" w:color="auto" w:sz="4" w:space="0"/>
              <w:left w:val="single" w:color="auto" w:sz="4" w:space="0"/>
              <w:bottom w:val="single" w:color="auto" w:sz="4" w:space="0"/>
              <w:right w:val="single" w:color="auto" w:sz="4" w:space="0"/>
            </w:tcBorders>
            <w:vAlign w:val="center"/>
          </w:tcPr>
          <w:p w14:paraId="57484D20">
            <w:pPr>
              <w:widowControl/>
              <w:spacing w:line="320" w:lineRule="exact"/>
              <w:jc w:val="left"/>
              <w:textAlignment w:val="center"/>
              <w:rPr>
                <w:rFonts w:ascii="宋体" w:hAnsi="宋体" w:eastAsia="宋体" w:cs="宋体"/>
                <w:sz w:val="21"/>
                <w:szCs w:val="21"/>
              </w:rPr>
            </w:pPr>
            <w:r>
              <w:rPr>
                <w:rFonts w:hint="eastAsia" w:ascii="宋体" w:hAnsi="宋体" w:eastAsia="宋体" w:cs="宋体"/>
                <w:kern w:val="0"/>
                <w:sz w:val="21"/>
                <w:szCs w:val="21"/>
              </w:rPr>
              <w:t>协助做好消防宣传教育。</w:t>
            </w:r>
          </w:p>
        </w:tc>
        <w:tc>
          <w:tcPr>
            <w:tcW w:w="7846" w:type="dxa"/>
            <w:tcBorders>
              <w:top w:val="single" w:color="auto" w:sz="4" w:space="0"/>
              <w:left w:val="single" w:color="auto" w:sz="4" w:space="0"/>
              <w:bottom w:val="single" w:color="auto" w:sz="4" w:space="0"/>
              <w:right w:val="single" w:color="auto" w:sz="4" w:space="0"/>
            </w:tcBorders>
            <w:vAlign w:val="center"/>
          </w:tcPr>
          <w:p w14:paraId="4351A748">
            <w:pPr>
              <w:spacing w:line="320" w:lineRule="exact"/>
              <w:rPr>
                <w:rFonts w:ascii="宋体" w:hAnsi="宋体" w:eastAsia="宋体" w:cs="宋体"/>
                <w:sz w:val="21"/>
                <w:szCs w:val="21"/>
              </w:rPr>
            </w:pPr>
            <w:r>
              <w:rPr>
                <w:rFonts w:hint="eastAsia" w:ascii="宋体" w:hAnsi="宋体" w:eastAsia="宋体" w:cs="宋体"/>
                <w:sz w:val="21"/>
                <w:szCs w:val="21"/>
              </w:rPr>
              <w:t>1.协助组建消防宣传志愿者队伍。</w:t>
            </w:r>
          </w:p>
          <w:p w14:paraId="0D5EE300">
            <w:pPr>
              <w:spacing w:line="320" w:lineRule="exact"/>
              <w:rPr>
                <w:rFonts w:ascii="宋体" w:hAnsi="宋体" w:eastAsia="宋体" w:cs="宋体"/>
                <w:sz w:val="21"/>
                <w:szCs w:val="21"/>
              </w:rPr>
            </w:pPr>
            <w:r>
              <w:rPr>
                <w:rFonts w:hint="eastAsia" w:ascii="宋体" w:hAnsi="宋体" w:eastAsia="宋体" w:cs="宋体"/>
                <w:sz w:val="21"/>
                <w:szCs w:val="21"/>
              </w:rPr>
              <w:t>协助乡（镇）人民政府、街道办事处，组建以热心消防公益事业的人员为主体的志愿消防队伍，从社区居委会、小区业主委员会、物业公司等，选取熟悉社区和居民状况的人员担任消防安全宣传员、监督员、消防宣传大使，鼓励社区党员、退休职工、教师等加入消防安全宣传志愿者队伍。</w:t>
            </w:r>
          </w:p>
          <w:p w14:paraId="6246EDF3">
            <w:pPr>
              <w:spacing w:line="320" w:lineRule="exact"/>
              <w:rPr>
                <w:rFonts w:ascii="宋体" w:hAnsi="宋体" w:eastAsia="宋体" w:cs="宋体"/>
                <w:sz w:val="21"/>
                <w:szCs w:val="21"/>
              </w:rPr>
            </w:pPr>
            <w:r>
              <w:rPr>
                <w:rFonts w:hint="eastAsia" w:ascii="宋体" w:hAnsi="宋体" w:eastAsia="宋体" w:cs="宋体"/>
                <w:sz w:val="21"/>
                <w:szCs w:val="21"/>
              </w:rPr>
              <w:t>2.定期开展相关消防宣传教育培训。</w:t>
            </w:r>
          </w:p>
          <w:p w14:paraId="6618B848">
            <w:pPr>
              <w:spacing w:line="320" w:lineRule="exact"/>
              <w:rPr>
                <w:rFonts w:ascii="宋体" w:hAnsi="宋体" w:eastAsia="宋体" w:cs="宋体"/>
                <w:sz w:val="21"/>
                <w:szCs w:val="21"/>
              </w:rPr>
            </w:pPr>
            <w:r>
              <w:rPr>
                <w:rFonts w:hint="eastAsia" w:ascii="宋体" w:hAnsi="宋体" w:eastAsia="宋体" w:cs="宋体"/>
                <w:sz w:val="21"/>
                <w:szCs w:val="21"/>
              </w:rPr>
              <w:t>①协助制定《社区居民、村民防火公约》《社区、居民村民消防安全行为规范手册》，落实“户户联防、村村联防”措施建立“特殊关爱”和“邻里守望”制度，针对农村分散供养特困人员、留守妇女儿童、独居老年人、残疾人等特殊群体，组织志愿者开展上门宣传、入户培训，发放家庭消防安全宣传手册，落实紧急情况时救助人员，强化关爱服务和“一对一”帮扶。</w:t>
            </w:r>
          </w:p>
          <w:p w14:paraId="3B817798">
            <w:pPr>
              <w:spacing w:line="320" w:lineRule="exact"/>
              <w:rPr>
                <w:rFonts w:ascii="宋体" w:hAnsi="宋体" w:eastAsia="宋体" w:cs="宋体"/>
                <w:sz w:val="21"/>
                <w:szCs w:val="21"/>
              </w:rPr>
            </w:pPr>
            <w:r>
              <w:rPr>
                <w:rFonts w:hint="eastAsia" w:ascii="宋体" w:hAnsi="宋体" w:eastAsia="宋体" w:cs="宋体"/>
                <w:sz w:val="21"/>
                <w:szCs w:val="21"/>
              </w:rPr>
              <w:t>②结合各地实际，利用“村村响、户户通”广播、惠民电影、流动科技馆、“科普中国”“科学辟谣”信息化平台等方式，广泛开展消防安全宣传教育提示。每季度开展消防安全宣传教育活动，结合全国防灾减灾日、消防日以及农闲、节庆、集市、庙会、民俗活动和外出务工人员返乡等时机，每半年开展1次大型消防安全宣传教育活动。</w:t>
            </w:r>
          </w:p>
        </w:tc>
        <w:tc>
          <w:tcPr>
            <w:tcW w:w="1404" w:type="dxa"/>
            <w:tcBorders>
              <w:top w:val="single" w:color="auto" w:sz="4" w:space="0"/>
              <w:left w:val="single" w:color="auto" w:sz="4" w:space="0"/>
              <w:bottom w:val="single" w:color="auto" w:sz="4" w:space="0"/>
              <w:right w:val="single" w:color="auto" w:sz="4" w:space="0"/>
            </w:tcBorders>
            <w:vAlign w:val="center"/>
          </w:tcPr>
          <w:p w14:paraId="1C06D2AB">
            <w:pPr>
              <w:autoSpaceDN w:val="0"/>
              <w:spacing w:line="320" w:lineRule="exact"/>
              <w:jc w:val="left"/>
              <w:textAlignment w:val="center"/>
              <w:rPr>
                <w:rFonts w:ascii="宋体" w:hAnsi="宋体" w:eastAsia="宋体" w:cs="宋体"/>
                <w:sz w:val="21"/>
                <w:szCs w:val="21"/>
              </w:rPr>
            </w:pPr>
            <w:r>
              <w:rPr>
                <w:rFonts w:hint="eastAsia" w:ascii="宋体" w:hAnsi="宋体" w:eastAsia="宋体" w:cs="宋体"/>
              </w:rPr>
              <w:t>《</w:t>
            </w:r>
            <w:r>
              <w:rPr>
                <w:rFonts w:hint="eastAsia" w:ascii="宋体" w:hAnsi="宋体" w:eastAsia="宋体" w:cs="宋体"/>
                <w:sz w:val="21"/>
                <w:szCs w:val="21"/>
              </w:rPr>
              <w:t>中华人民共和国消防法》第六条</w:t>
            </w:r>
          </w:p>
          <w:p w14:paraId="7599E422">
            <w:pPr>
              <w:autoSpaceDN w:val="0"/>
              <w:spacing w:line="320" w:lineRule="exact"/>
              <w:jc w:val="left"/>
              <w:textAlignment w:val="center"/>
              <w:rPr>
                <w:rFonts w:ascii="宋体" w:hAnsi="宋体" w:eastAsia="宋体" w:cs="宋体"/>
              </w:rPr>
            </w:pPr>
            <w:r>
              <w:rPr>
                <w:rFonts w:hint="eastAsia" w:ascii="宋体" w:hAnsi="宋体" w:eastAsia="宋体" w:cs="宋体"/>
                <w:sz w:val="21"/>
                <w:szCs w:val="21"/>
              </w:rPr>
              <w:t>《重庆市消防条例》第十一条</w:t>
            </w:r>
          </w:p>
        </w:tc>
        <w:tc>
          <w:tcPr>
            <w:tcW w:w="900" w:type="dxa"/>
            <w:tcBorders>
              <w:top w:val="single" w:color="auto" w:sz="4" w:space="0"/>
              <w:left w:val="single" w:color="auto" w:sz="4" w:space="0"/>
              <w:bottom w:val="single" w:color="auto" w:sz="4" w:space="0"/>
              <w:right w:val="single" w:color="auto" w:sz="4" w:space="0"/>
            </w:tcBorders>
            <w:vAlign w:val="center"/>
          </w:tcPr>
          <w:p w14:paraId="691B27C3">
            <w:pPr>
              <w:spacing w:line="320" w:lineRule="exact"/>
              <w:jc w:val="left"/>
              <w:rPr>
                <w:rFonts w:ascii="宋体" w:hAnsi="宋体" w:eastAsia="宋体" w:cs="宋体"/>
                <w:sz w:val="21"/>
                <w:szCs w:val="21"/>
              </w:rPr>
            </w:pPr>
            <w:r>
              <w:rPr>
                <w:rFonts w:hint="eastAsia" w:ascii="宋体" w:hAnsi="宋体" w:eastAsia="宋体" w:cs="宋体"/>
                <w:sz w:val="21"/>
                <w:szCs w:val="21"/>
              </w:rPr>
              <w:t>消防总队</w:t>
            </w:r>
          </w:p>
        </w:tc>
        <w:tc>
          <w:tcPr>
            <w:tcW w:w="686" w:type="dxa"/>
            <w:tcBorders>
              <w:top w:val="single" w:color="auto" w:sz="4" w:space="0"/>
              <w:left w:val="single" w:color="auto" w:sz="4" w:space="0"/>
              <w:bottom w:val="single" w:color="auto" w:sz="4" w:space="0"/>
              <w:right w:val="single" w:color="auto" w:sz="4" w:space="0"/>
            </w:tcBorders>
            <w:vAlign w:val="center"/>
          </w:tcPr>
          <w:p w14:paraId="423C69E2">
            <w:pPr>
              <w:spacing w:line="320" w:lineRule="exact"/>
              <w:rPr>
                <w:rFonts w:ascii="宋体" w:hAnsi="宋体" w:eastAsia="宋体" w:cs="宋体"/>
                <w:sz w:val="21"/>
                <w:szCs w:val="21"/>
              </w:rPr>
            </w:pPr>
          </w:p>
        </w:tc>
      </w:tr>
      <w:tr w14:paraId="1FC95A67">
        <w:tblPrEx>
          <w:tblCellMar>
            <w:top w:w="15" w:type="dxa"/>
            <w:left w:w="15" w:type="dxa"/>
            <w:bottom w:w="15" w:type="dxa"/>
            <w:right w:w="15" w:type="dxa"/>
          </w:tblCellMar>
        </w:tblPrEx>
        <w:trPr>
          <w:trHeight w:val="3170" w:hRule="atLeast"/>
          <w:jc w:val="center"/>
        </w:trPr>
        <w:tc>
          <w:tcPr>
            <w:tcW w:w="808" w:type="dxa"/>
            <w:tcBorders>
              <w:top w:val="single" w:color="auto" w:sz="4" w:space="0"/>
              <w:left w:val="single" w:color="auto" w:sz="4" w:space="0"/>
              <w:bottom w:val="single" w:color="auto" w:sz="4" w:space="0"/>
              <w:right w:val="single" w:color="auto" w:sz="4" w:space="0"/>
            </w:tcBorders>
            <w:vAlign w:val="center"/>
          </w:tcPr>
          <w:p w14:paraId="1B7263B9">
            <w:pPr>
              <w:spacing w:line="320" w:lineRule="exact"/>
              <w:jc w:val="center"/>
              <w:rPr>
                <w:rFonts w:ascii="宋体" w:hAnsi="宋体" w:eastAsia="宋体" w:cs="宋体"/>
                <w:sz w:val="21"/>
                <w:szCs w:val="21"/>
              </w:rPr>
            </w:pPr>
            <w:r>
              <w:rPr>
                <w:rFonts w:hint="eastAsia" w:ascii="宋体" w:hAnsi="宋体" w:eastAsia="宋体" w:cs="宋体"/>
                <w:sz w:val="21"/>
                <w:szCs w:val="21"/>
              </w:rPr>
              <w:t>8</w:t>
            </w:r>
          </w:p>
        </w:tc>
        <w:tc>
          <w:tcPr>
            <w:tcW w:w="1314" w:type="dxa"/>
            <w:tcBorders>
              <w:top w:val="single" w:color="auto" w:sz="4" w:space="0"/>
              <w:left w:val="single" w:color="auto" w:sz="4" w:space="0"/>
              <w:bottom w:val="single" w:color="auto" w:sz="4" w:space="0"/>
              <w:right w:val="single" w:color="auto" w:sz="4" w:space="0"/>
            </w:tcBorders>
            <w:vAlign w:val="center"/>
          </w:tcPr>
          <w:p w14:paraId="155D79DC">
            <w:pPr>
              <w:widowControl/>
              <w:spacing w:line="320" w:lineRule="exact"/>
              <w:textAlignment w:val="center"/>
              <w:rPr>
                <w:rFonts w:ascii="宋体" w:hAnsi="宋体" w:eastAsia="宋体" w:cs="宋体"/>
                <w:sz w:val="21"/>
                <w:szCs w:val="21"/>
              </w:rPr>
            </w:pPr>
            <w:r>
              <w:rPr>
                <w:rFonts w:hint="eastAsia" w:ascii="宋体" w:hAnsi="宋体" w:eastAsia="宋体" w:cs="宋体"/>
                <w:kern w:val="0"/>
                <w:sz w:val="21"/>
                <w:szCs w:val="21"/>
              </w:rPr>
              <w:t>协助做好养犬管理工作</w:t>
            </w:r>
          </w:p>
        </w:tc>
        <w:tc>
          <w:tcPr>
            <w:tcW w:w="1802" w:type="dxa"/>
            <w:tcBorders>
              <w:top w:val="single" w:color="auto" w:sz="4" w:space="0"/>
              <w:left w:val="single" w:color="auto" w:sz="4" w:space="0"/>
              <w:bottom w:val="single" w:color="auto" w:sz="4" w:space="0"/>
              <w:right w:val="single" w:color="auto" w:sz="4" w:space="0"/>
            </w:tcBorders>
            <w:vAlign w:val="center"/>
          </w:tcPr>
          <w:p w14:paraId="556892DB">
            <w:pPr>
              <w:widowControl/>
              <w:spacing w:line="320" w:lineRule="exact"/>
              <w:jc w:val="left"/>
              <w:textAlignment w:val="center"/>
              <w:rPr>
                <w:rFonts w:ascii="宋体" w:hAnsi="宋体" w:eastAsia="宋体" w:cs="宋体"/>
                <w:sz w:val="21"/>
                <w:szCs w:val="21"/>
              </w:rPr>
            </w:pPr>
            <w:r>
              <w:rPr>
                <w:rFonts w:hint="eastAsia" w:ascii="宋体" w:hAnsi="宋体" w:eastAsia="宋体" w:cs="宋体"/>
                <w:kern w:val="0"/>
                <w:sz w:val="21"/>
                <w:szCs w:val="21"/>
              </w:rPr>
              <w:t>协助做好养犬管理工作。</w:t>
            </w:r>
          </w:p>
        </w:tc>
        <w:tc>
          <w:tcPr>
            <w:tcW w:w="7846" w:type="dxa"/>
            <w:tcBorders>
              <w:top w:val="single" w:color="auto" w:sz="4" w:space="0"/>
              <w:left w:val="single" w:color="auto" w:sz="4" w:space="0"/>
              <w:bottom w:val="single" w:color="auto" w:sz="4" w:space="0"/>
              <w:right w:val="single" w:color="auto" w:sz="4" w:space="0"/>
            </w:tcBorders>
            <w:vAlign w:val="center"/>
          </w:tcPr>
          <w:p w14:paraId="65706311">
            <w:pPr>
              <w:autoSpaceDN w:val="0"/>
              <w:spacing w:line="320" w:lineRule="exact"/>
              <w:textAlignment w:val="center"/>
              <w:rPr>
                <w:rFonts w:ascii="宋体" w:hAnsi="宋体" w:eastAsia="宋体" w:cs="宋体"/>
                <w:sz w:val="21"/>
                <w:szCs w:val="21"/>
              </w:rPr>
            </w:pPr>
            <w:r>
              <w:rPr>
                <w:rFonts w:hint="eastAsia" w:ascii="宋体" w:hAnsi="宋体" w:eastAsia="宋体" w:cs="宋体"/>
                <w:sz w:val="21"/>
                <w:szCs w:val="21"/>
              </w:rPr>
              <w:t>1.组织开展依法养犬、文明养犬宣传。</w:t>
            </w:r>
            <w:r>
              <w:rPr>
                <w:rFonts w:hint="eastAsia" w:ascii="宋体" w:hAnsi="宋体" w:eastAsia="宋体" w:cs="宋体"/>
                <w:sz w:val="21"/>
                <w:szCs w:val="21"/>
              </w:rPr>
              <w:br w:type="textWrapping"/>
            </w:r>
            <w:r>
              <w:rPr>
                <w:rFonts w:hint="eastAsia" w:ascii="宋体" w:hAnsi="宋体" w:eastAsia="宋体" w:cs="宋体"/>
                <w:sz w:val="21"/>
                <w:szCs w:val="21"/>
              </w:rPr>
              <w:t>2.组织开展清理登记养犬户和涉犬经营主体。督促养犬户对犬只进行免疫和登记办证；督促涉犬经营主体依法经营并备案。</w:t>
            </w:r>
            <w:r>
              <w:rPr>
                <w:rFonts w:hint="eastAsia" w:ascii="宋体" w:hAnsi="宋体" w:eastAsia="宋体" w:cs="宋体"/>
                <w:sz w:val="21"/>
                <w:szCs w:val="21"/>
              </w:rPr>
              <w:br w:type="textWrapping"/>
            </w:r>
            <w:r>
              <w:rPr>
                <w:rFonts w:hint="eastAsia" w:ascii="宋体" w:hAnsi="宋体" w:eastAsia="宋体" w:cs="宋体"/>
                <w:sz w:val="21"/>
                <w:szCs w:val="21"/>
              </w:rPr>
              <w:t>3.组织开展劝阻和制止遛犬不束链、携烈性犬攻击性犬出户对犬只不戴嘴套、携犬乘坐电梯不将犬装入犬袋犬笼或者不怀抱不袋嘴套等违规养犬行为。</w:t>
            </w:r>
            <w:r>
              <w:rPr>
                <w:rFonts w:hint="eastAsia" w:ascii="宋体" w:hAnsi="宋体" w:eastAsia="宋体" w:cs="宋体"/>
                <w:sz w:val="21"/>
                <w:szCs w:val="21"/>
              </w:rPr>
              <w:br w:type="textWrapping"/>
            </w:r>
            <w:r>
              <w:rPr>
                <w:rFonts w:hint="eastAsia" w:ascii="宋体" w:hAnsi="宋体" w:eastAsia="宋体" w:cs="宋体"/>
                <w:sz w:val="21"/>
                <w:szCs w:val="21"/>
              </w:rPr>
              <w:t>4.组织开展清理并协助主管部门捕捉流浪犬。</w:t>
            </w:r>
            <w:r>
              <w:rPr>
                <w:rFonts w:hint="eastAsia" w:ascii="宋体" w:hAnsi="宋体" w:eastAsia="宋体" w:cs="宋体"/>
                <w:sz w:val="21"/>
                <w:szCs w:val="21"/>
              </w:rPr>
              <w:br w:type="textWrapping"/>
            </w:r>
            <w:r>
              <w:rPr>
                <w:rFonts w:hint="eastAsia" w:ascii="宋体" w:hAnsi="宋体" w:eastAsia="宋体" w:cs="宋体"/>
                <w:sz w:val="21"/>
                <w:szCs w:val="21"/>
              </w:rPr>
              <w:t>5.组织制定养犬自律公约，并监督实施。</w:t>
            </w:r>
            <w:r>
              <w:rPr>
                <w:rFonts w:hint="eastAsia" w:ascii="宋体" w:hAnsi="宋体" w:eastAsia="宋体" w:cs="宋体"/>
                <w:sz w:val="21"/>
                <w:szCs w:val="21"/>
              </w:rPr>
              <w:br w:type="textWrapping"/>
            </w:r>
            <w:r>
              <w:rPr>
                <w:rFonts w:hint="eastAsia" w:ascii="宋体" w:hAnsi="宋体" w:eastAsia="宋体" w:cs="宋体"/>
                <w:sz w:val="21"/>
                <w:szCs w:val="21"/>
              </w:rPr>
              <w:t>6.就养犬管理向相关主管部门提出建议和意见。</w:t>
            </w:r>
          </w:p>
        </w:tc>
        <w:tc>
          <w:tcPr>
            <w:tcW w:w="1404" w:type="dxa"/>
            <w:tcBorders>
              <w:top w:val="single" w:color="auto" w:sz="4" w:space="0"/>
              <w:left w:val="single" w:color="auto" w:sz="4" w:space="0"/>
              <w:bottom w:val="single" w:color="auto" w:sz="4" w:space="0"/>
              <w:right w:val="single" w:color="auto" w:sz="4" w:space="0"/>
            </w:tcBorders>
            <w:vAlign w:val="center"/>
          </w:tcPr>
          <w:p w14:paraId="26CF7DD1">
            <w:pPr>
              <w:autoSpaceDN w:val="0"/>
              <w:spacing w:line="320" w:lineRule="exact"/>
              <w:jc w:val="left"/>
              <w:textAlignment w:val="center"/>
              <w:rPr>
                <w:rFonts w:ascii="宋体" w:hAnsi="宋体" w:eastAsia="宋体" w:cs="宋体"/>
                <w:sz w:val="21"/>
                <w:szCs w:val="21"/>
              </w:rPr>
            </w:pPr>
            <w:r>
              <w:rPr>
                <w:rFonts w:hint="eastAsia" w:ascii="宋体" w:hAnsi="宋体" w:eastAsia="宋体" w:cs="宋体"/>
                <w:sz w:val="21"/>
                <w:szCs w:val="21"/>
              </w:rPr>
              <w:t>《重庆市养犬管理暂行办法》第五条、第二十八条、第二十九条</w:t>
            </w:r>
          </w:p>
        </w:tc>
        <w:tc>
          <w:tcPr>
            <w:tcW w:w="900" w:type="dxa"/>
            <w:tcBorders>
              <w:top w:val="single" w:color="auto" w:sz="4" w:space="0"/>
              <w:left w:val="single" w:color="auto" w:sz="4" w:space="0"/>
              <w:bottom w:val="single" w:color="auto" w:sz="4" w:space="0"/>
              <w:right w:val="single" w:color="auto" w:sz="4" w:space="0"/>
            </w:tcBorders>
            <w:vAlign w:val="center"/>
          </w:tcPr>
          <w:p w14:paraId="67BE075B">
            <w:pPr>
              <w:autoSpaceDN w:val="0"/>
              <w:spacing w:line="320" w:lineRule="exact"/>
              <w:jc w:val="left"/>
              <w:textAlignment w:val="center"/>
              <w:rPr>
                <w:rFonts w:ascii="宋体" w:hAnsi="宋体" w:eastAsia="宋体" w:cs="宋体"/>
                <w:sz w:val="21"/>
                <w:szCs w:val="21"/>
              </w:rPr>
            </w:pPr>
            <w:r>
              <w:rPr>
                <w:rFonts w:hint="eastAsia" w:ascii="宋体" w:hAnsi="宋体" w:eastAsia="宋体" w:cs="宋体"/>
                <w:sz w:val="21"/>
                <w:szCs w:val="21"/>
              </w:rPr>
              <w:t>公安部门、城市管理部门、市场监管部门、农业农村部门、卫生健康部门</w:t>
            </w:r>
          </w:p>
        </w:tc>
        <w:tc>
          <w:tcPr>
            <w:tcW w:w="686" w:type="dxa"/>
            <w:tcBorders>
              <w:top w:val="single" w:color="auto" w:sz="4" w:space="0"/>
              <w:left w:val="single" w:color="auto" w:sz="4" w:space="0"/>
              <w:bottom w:val="single" w:color="auto" w:sz="4" w:space="0"/>
              <w:right w:val="single" w:color="auto" w:sz="4" w:space="0"/>
            </w:tcBorders>
            <w:vAlign w:val="center"/>
          </w:tcPr>
          <w:p w14:paraId="47804793">
            <w:pPr>
              <w:spacing w:line="320" w:lineRule="exact"/>
              <w:rPr>
                <w:rFonts w:ascii="宋体" w:hAnsi="宋体" w:eastAsia="宋体" w:cs="宋体"/>
                <w:sz w:val="21"/>
                <w:szCs w:val="21"/>
              </w:rPr>
            </w:pPr>
          </w:p>
        </w:tc>
      </w:tr>
      <w:tr w14:paraId="375E3361">
        <w:tblPrEx>
          <w:tblCellMar>
            <w:top w:w="15" w:type="dxa"/>
            <w:left w:w="15" w:type="dxa"/>
            <w:bottom w:w="15" w:type="dxa"/>
            <w:right w:w="15" w:type="dxa"/>
          </w:tblCellMar>
        </w:tblPrEx>
        <w:trPr>
          <w:trHeight w:val="3640" w:hRule="atLeast"/>
          <w:jc w:val="center"/>
        </w:trPr>
        <w:tc>
          <w:tcPr>
            <w:tcW w:w="808" w:type="dxa"/>
            <w:tcBorders>
              <w:top w:val="single" w:color="auto" w:sz="4" w:space="0"/>
              <w:left w:val="single" w:color="auto" w:sz="4" w:space="0"/>
              <w:bottom w:val="single" w:color="auto" w:sz="4" w:space="0"/>
              <w:right w:val="single" w:color="auto" w:sz="4" w:space="0"/>
            </w:tcBorders>
            <w:vAlign w:val="center"/>
          </w:tcPr>
          <w:p w14:paraId="73E8FADD">
            <w:pPr>
              <w:spacing w:line="320" w:lineRule="exact"/>
              <w:jc w:val="center"/>
              <w:rPr>
                <w:rFonts w:ascii="宋体" w:hAnsi="宋体" w:eastAsia="宋体" w:cs="宋体"/>
                <w:sz w:val="21"/>
                <w:szCs w:val="21"/>
              </w:rPr>
            </w:pPr>
            <w:r>
              <w:rPr>
                <w:rFonts w:hint="eastAsia" w:ascii="宋体" w:hAnsi="宋体" w:eastAsia="宋体" w:cs="宋体"/>
                <w:sz w:val="21"/>
                <w:szCs w:val="21"/>
              </w:rPr>
              <w:t>9</w:t>
            </w:r>
          </w:p>
        </w:tc>
        <w:tc>
          <w:tcPr>
            <w:tcW w:w="1314" w:type="dxa"/>
            <w:tcBorders>
              <w:top w:val="single" w:color="auto" w:sz="4" w:space="0"/>
              <w:left w:val="single" w:color="auto" w:sz="4" w:space="0"/>
              <w:bottom w:val="single" w:color="auto" w:sz="4" w:space="0"/>
              <w:right w:val="single" w:color="auto" w:sz="4" w:space="0"/>
            </w:tcBorders>
            <w:vAlign w:val="center"/>
          </w:tcPr>
          <w:p w14:paraId="440B05A2">
            <w:pPr>
              <w:widowControl/>
              <w:spacing w:line="320" w:lineRule="exact"/>
              <w:textAlignment w:val="center"/>
              <w:rPr>
                <w:rFonts w:ascii="宋体" w:hAnsi="宋体" w:eastAsia="宋体" w:cs="宋体"/>
                <w:sz w:val="21"/>
                <w:szCs w:val="21"/>
              </w:rPr>
            </w:pPr>
            <w:r>
              <w:rPr>
                <w:rFonts w:hint="eastAsia" w:ascii="宋体" w:hAnsi="宋体" w:eastAsia="宋体" w:cs="宋体"/>
                <w:kern w:val="0"/>
                <w:sz w:val="21"/>
                <w:szCs w:val="21"/>
              </w:rPr>
              <w:t>协助开展燃放烟花爆竹</w:t>
            </w:r>
            <w:r>
              <w:rPr>
                <w:rStyle w:val="14"/>
                <w:rFonts w:hint="eastAsia" w:ascii="宋体" w:hAnsi="宋体" w:eastAsia="宋体" w:cs="宋体"/>
                <w:color w:val="auto"/>
                <w:sz w:val="21"/>
                <w:szCs w:val="21"/>
              </w:rPr>
              <w:t>管理</w:t>
            </w:r>
            <w:r>
              <w:rPr>
                <w:rStyle w:val="15"/>
                <w:rFonts w:hint="eastAsia" w:ascii="宋体" w:hAnsi="宋体" w:eastAsia="宋体" w:cs="宋体"/>
                <w:color w:val="auto"/>
                <w:sz w:val="21"/>
                <w:szCs w:val="21"/>
              </w:rPr>
              <w:t>工作</w:t>
            </w:r>
          </w:p>
        </w:tc>
        <w:tc>
          <w:tcPr>
            <w:tcW w:w="1802" w:type="dxa"/>
            <w:tcBorders>
              <w:top w:val="single" w:color="auto" w:sz="4" w:space="0"/>
              <w:left w:val="single" w:color="auto" w:sz="4" w:space="0"/>
              <w:bottom w:val="single" w:color="auto" w:sz="4" w:space="0"/>
              <w:right w:val="single" w:color="auto" w:sz="4" w:space="0"/>
            </w:tcBorders>
            <w:vAlign w:val="center"/>
          </w:tcPr>
          <w:p w14:paraId="74CDE167">
            <w:pPr>
              <w:widowControl/>
              <w:spacing w:line="320" w:lineRule="exact"/>
              <w:jc w:val="left"/>
              <w:textAlignment w:val="center"/>
              <w:rPr>
                <w:rFonts w:ascii="宋体" w:hAnsi="宋体" w:eastAsia="宋体" w:cs="宋体"/>
                <w:sz w:val="21"/>
                <w:szCs w:val="21"/>
              </w:rPr>
            </w:pPr>
            <w:r>
              <w:rPr>
                <w:rFonts w:hint="eastAsia" w:ascii="宋体" w:hAnsi="宋体" w:eastAsia="宋体" w:cs="宋体"/>
                <w:kern w:val="0"/>
                <w:sz w:val="21"/>
                <w:szCs w:val="21"/>
              </w:rPr>
              <w:t>加强宣传教育，协助开展燃放烟花爆竹管理工作。</w:t>
            </w:r>
          </w:p>
        </w:tc>
        <w:tc>
          <w:tcPr>
            <w:tcW w:w="7846" w:type="dxa"/>
            <w:tcBorders>
              <w:top w:val="single" w:color="auto" w:sz="4" w:space="0"/>
              <w:left w:val="single" w:color="auto" w:sz="4" w:space="0"/>
              <w:bottom w:val="single" w:color="auto" w:sz="4" w:space="0"/>
              <w:right w:val="single" w:color="auto" w:sz="4" w:space="0"/>
            </w:tcBorders>
            <w:vAlign w:val="center"/>
          </w:tcPr>
          <w:p w14:paraId="74AD06A4">
            <w:pPr>
              <w:autoSpaceDN w:val="0"/>
              <w:spacing w:line="300" w:lineRule="exact"/>
              <w:textAlignment w:val="center"/>
              <w:rPr>
                <w:rFonts w:ascii="宋体" w:hAnsi="宋体" w:eastAsia="宋体" w:cs="宋体"/>
                <w:sz w:val="21"/>
                <w:szCs w:val="21"/>
              </w:rPr>
            </w:pPr>
            <w:r>
              <w:rPr>
                <w:rFonts w:hint="eastAsia" w:ascii="宋体" w:hAnsi="宋体" w:eastAsia="宋体" w:cs="宋体"/>
                <w:sz w:val="21"/>
                <w:szCs w:val="21"/>
              </w:rPr>
              <w:t>1.协助燃放宣传教育。</w:t>
            </w:r>
          </w:p>
          <w:p w14:paraId="70CA45F3">
            <w:pPr>
              <w:autoSpaceDN w:val="0"/>
              <w:spacing w:line="300" w:lineRule="exact"/>
              <w:textAlignment w:val="center"/>
              <w:rPr>
                <w:rFonts w:ascii="宋体" w:hAnsi="宋体" w:eastAsia="宋体" w:cs="宋体"/>
                <w:sz w:val="21"/>
                <w:szCs w:val="21"/>
              </w:rPr>
            </w:pPr>
            <w:r>
              <w:rPr>
                <w:rFonts w:hint="eastAsia" w:ascii="宋体" w:hAnsi="宋体" w:eastAsia="宋体" w:cs="宋体"/>
                <w:sz w:val="21"/>
                <w:szCs w:val="21"/>
              </w:rPr>
              <w:t>①协助乡（镇）人民政府、街道办事处依据法规规定拟定制作燃放烟花爆竹安全宣传各类资料。</w:t>
            </w:r>
          </w:p>
          <w:p w14:paraId="673B9383">
            <w:pPr>
              <w:autoSpaceDN w:val="0"/>
              <w:spacing w:line="300" w:lineRule="exact"/>
              <w:textAlignment w:val="center"/>
              <w:rPr>
                <w:rFonts w:ascii="宋体" w:hAnsi="宋体" w:eastAsia="宋体" w:cs="宋体"/>
                <w:sz w:val="21"/>
                <w:szCs w:val="21"/>
              </w:rPr>
            </w:pPr>
            <w:r>
              <w:rPr>
                <w:rFonts w:hint="eastAsia" w:ascii="宋体" w:hAnsi="宋体" w:eastAsia="宋体" w:cs="宋体"/>
                <w:sz w:val="21"/>
                <w:szCs w:val="21"/>
              </w:rPr>
              <w:t>②协助安全居民委员会、村民委员会和物业服务企业加强对居民、村民和业主的宣传教育，张贴悬挂禁、限放标识、海报、标语，发放宣传单，利用社区、小区广播、小喇叭宣传法规规定等。</w:t>
            </w:r>
          </w:p>
          <w:p w14:paraId="402117D0">
            <w:pPr>
              <w:autoSpaceDN w:val="0"/>
              <w:spacing w:line="300" w:lineRule="exact"/>
              <w:textAlignment w:val="center"/>
              <w:rPr>
                <w:rFonts w:ascii="宋体" w:hAnsi="宋体" w:eastAsia="宋体" w:cs="宋体"/>
                <w:sz w:val="21"/>
                <w:szCs w:val="21"/>
              </w:rPr>
            </w:pPr>
            <w:r>
              <w:rPr>
                <w:rFonts w:hint="eastAsia" w:ascii="宋体" w:hAnsi="宋体" w:eastAsia="宋体" w:cs="宋体"/>
                <w:sz w:val="21"/>
                <w:szCs w:val="21"/>
              </w:rPr>
              <w:t>2.协助开展燃放烟花爆竹管理工作。</w:t>
            </w:r>
          </w:p>
          <w:p w14:paraId="69F6B398">
            <w:pPr>
              <w:autoSpaceDN w:val="0"/>
              <w:spacing w:line="300" w:lineRule="exact"/>
              <w:textAlignment w:val="center"/>
              <w:rPr>
                <w:rFonts w:ascii="宋体" w:hAnsi="宋体" w:eastAsia="宋体" w:cs="宋体"/>
                <w:sz w:val="21"/>
                <w:szCs w:val="21"/>
              </w:rPr>
            </w:pPr>
            <w:r>
              <w:rPr>
                <w:rFonts w:hint="eastAsia" w:ascii="宋体" w:hAnsi="宋体" w:eastAsia="宋体" w:cs="宋体"/>
                <w:sz w:val="21"/>
                <w:szCs w:val="21"/>
              </w:rPr>
              <w:t>①协助乡（镇）人民政府、街道办事处对社区、居民小区开展消防安全隐患排查，清除可燃物。</w:t>
            </w:r>
          </w:p>
          <w:p w14:paraId="391AF4CC">
            <w:pPr>
              <w:autoSpaceDN w:val="0"/>
              <w:spacing w:line="300" w:lineRule="exact"/>
              <w:textAlignment w:val="center"/>
              <w:rPr>
                <w:rFonts w:ascii="宋体" w:hAnsi="宋体" w:eastAsia="宋体" w:cs="宋体"/>
                <w:sz w:val="21"/>
                <w:szCs w:val="21"/>
              </w:rPr>
            </w:pPr>
            <w:r>
              <w:rPr>
                <w:rFonts w:hint="eastAsia" w:ascii="宋体" w:hAnsi="宋体" w:eastAsia="宋体" w:cs="宋体"/>
                <w:sz w:val="21"/>
                <w:szCs w:val="21"/>
              </w:rPr>
              <w:t>②协助居民委员会、村民委员会和物业服务企业对禁限区域巡查、对重点单（部）位守护。</w:t>
            </w:r>
          </w:p>
          <w:p w14:paraId="59629BA1">
            <w:pPr>
              <w:autoSpaceDN w:val="0"/>
              <w:spacing w:line="300" w:lineRule="exact"/>
              <w:textAlignment w:val="center"/>
              <w:rPr>
                <w:rFonts w:ascii="宋体" w:hAnsi="宋体" w:eastAsia="宋体" w:cs="宋体"/>
                <w:sz w:val="21"/>
                <w:szCs w:val="21"/>
              </w:rPr>
            </w:pPr>
            <w:r>
              <w:rPr>
                <w:rFonts w:hint="eastAsia" w:ascii="宋体" w:hAnsi="宋体" w:eastAsia="宋体" w:cs="宋体"/>
                <w:sz w:val="21"/>
                <w:szCs w:val="21"/>
              </w:rPr>
              <w:t>③及时制止劝阻违法储存、销售、燃放烟花爆竹行为。</w:t>
            </w:r>
          </w:p>
        </w:tc>
        <w:tc>
          <w:tcPr>
            <w:tcW w:w="1404" w:type="dxa"/>
            <w:tcBorders>
              <w:top w:val="single" w:color="auto" w:sz="4" w:space="0"/>
              <w:left w:val="single" w:color="auto" w:sz="4" w:space="0"/>
              <w:bottom w:val="single" w:color="auto" w:sz="4" w:space="0"/>
              <w:right w:val="single" w:color="auto" w:sz="4" w:space="0"/>
            </w:tcBorders>
            <w:vAlign w:val="center"/>
          </w:tcPr>
          <w:p w14:paraId="1A981DDF">
            <w:pPr>
              <w:autoSpaceDN w:val="0"/>
              <w:spacing w:line="320" w:lineRule="exact"/>
              <w:jc w:val="left"/>
              <w:textAlignment w:val="center"/>
              <w:rPr>
                <w:rFonts w:ascii="宋体" w:hAnsi="宋体" w:eastAsia="宋体" w:cs="宋体"/>
                <w:sz w:val="21"/>
                <w:szCs w:val="21"/>
              </w:rPr>
            </w:pPr>
            <w:r>
              <w:rPr>
                <w:rFonts w:hint="eastAsia" w:ascii="宋体" w:hAnsi="宋体" w:eastAsia="宋体" w:cs="宋体"/>
                <w:sz w:val="21"/>
                <w:szCs w:val="21"/>
              </w:rPr>
              <w:t>《重庆市燃放烟花爆竹管理条例》第三条、第四条</w:t>
            </w:r>
          </w:p>
          <w:p w14:paraId="0735A299">
            <w:pPr>
              <w:autoSpaceDN w:val="0"/>
              <w:spacing w:line="320" w:lineRule="exact"/>
              <w:jc w:val="left"/>
              <w:textAlignment w:val="center"/>
              <w:rPr>
                <w:rFonts w:ascii="宋体" w:hAnsi="宋体" w:eastAsia="宋体" w:cs="宋体"/>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4E0A9AE2">
            <w:pPr>
              <w:autoSpaceDN w:val="0"/>
              <w:spacing w:line="320" w:lineRule="exact"/>
              <w:jc w:val="left"/>
              <w:textAlignment w:val="center"/>
              <w:rPr>
                <w:rFonts w:ascii="宋体" w:hAnsi="宋体" w:eastAsia="宋体" w:cs="宋体"/>
                <w:sz w:val="21"/>
                <w:szCs w:val="21"/>
              </w:rPr>
            </w:pPr>
            <w:r>
              <w:rPr>
                <w:rFonts w:hint="eastAsia" w:ascii="宋体" w:hAnsi="宋体" w:eastAsia="宋体" w:cs="宋体"/>
                <w:sz w:val="21"/>
                <w:szCs w:val="21"/>
              </w:rPr>
              <w:t>公安部门</w:t>
            </w:r>
          </w:p>
        </w:tc>
        <w:tc>
          <w:tcPr>
            <w:tcW w:w="686" w:type="dxa"/>
            <w:tcBorders>
              <w:top w:val="single" w:color="auto" w:sz="4" w:space="0"/>
              <w:left w:val="single" w:color="auto" w:sz="4" w:space="0"/>
              <w:bottom w:val="single" w:color="auto" w:sz="4" w:space="0"/>
              <w:right w:val="single" w:color="auto" w:sz="4" w:space="0"/>
            </w:tcBorders>
            <w:vAlign w:val="center"/>
          </w:tcPr>
          <w:p w14:paraId="31E230EE">
            <w:pPr>
              <w:spacing w:line="320" w:lineRule="exact"/>
              <w:rPr>
                <w:rFonts w:ascii="宋体" w:hAnsi="宋体" w:eastAsia="宋体" w:cs="宋体"/>
                <w:sz w:val="21"/>
                <w:szCs w:val="21"/>
              </w:rPr>
            </w:pPr>
          </w:p>
        </w:tc>
      </w:tr>
      <w:tr w14:paraId="1EDE1406">
        <w:tblPrEx>
          <w:tblCellMar>
            <w:top w:w="15" w:type="dxa"/>
            <w:left w:w="15" w:type="dxa"/>
            <w:bottom w:w="15" w:type="dxa"/>
            <w:right w:w="15" w:type="dxa"/>
          </w:tblCellMar>
        </w:tblPrEx>
        <w:trPr>
          <w:trHeight w:val="2630" w:hRule="atLeast"/>
          <w:jc w:val="center"/>
        </w:trPr>
        <w:tc>
          <w:tcPr>
            <w:tcW w:w="808" w:type="dxa"/>
            <w:tcBorders>
              <w:top w:val="single" w:color="auto" w:sz="4" w:space="0"/>
              <w:left w:val="single" w:color="auto" w:sz="4" w:space="0"/>
              <w:bottom w:val="single" w:color="auto" w:sz="4" w:space="0"/>
              <w:right w:val="single" w:color="auto" w:sz="4" w:space="0"/>
            </w:tcBorders>
            <w:vAlign w:val="center"/>
          </w:tcPr>
          <w:p w14:paraId="749E566F">
            <w:pPr>
              <w:spacing w:line="320" w:lineRule="exact"/>
              <w:jc w:val="center"/>
              <w:rPr>
                <w:rFonts w:ascii="宋体" w:hAnsi="宋体" w:eastAsia="宋体" w:cs="宋体"/>
                <w:sz w:val="21"/>
                <w:szCs w:val="21"/>
              </w:rPr>
            </w:pPr>
            <w:r>
              <w:rPr>
                <w:rFonts w:hint="eastAsia" w:ascii="宋体" w:hAnsi="宋体" w:eastAsia="宋体" w:cs="宋体"/>
                <w:sz w:val="21"/>
                <w:szCs w:val="21"/>
              </w:rPr>
              <w:t>10</w:t>
            </w:r>
          </w:p>
        </w:tc>
        <w:tc>
          <w:tcPr>
            <w:tcW w:w="1314" w:type="dxa"/>
            <w:tcBorders>
              <w:top w:val="single" w:color="auto" w:sz="4" w:space="0"/>
              <w:left w:val="single" w:color="auto" w:sz="4" w:space="0"/>
              <w:bottom w:val="single" w:color="auto" w:sz="4" w:space="0"/>
              <w:right w:val="single" w:color="auto" w:sz="4" w:space="0"/>
            </w:tcBorders>
            <w:vAlign w:val="center"/>
          </w:tcPr>
          <w:p w14:paraId="27EFC9B0">
            <w:pPr>
              <w:widowControl/>
              <w:spacing w:line="320" w:lineRule="exact"/>
              <w:textAlignment w:val="center"/>
              <w:rPr>
                <w:rFonts w:ascii="宋体" w:hAnsi="宋体" w:eastAsia="宋体" w:cs="宋体"/>
                <w:sz w:val="21"/>
                <w:szCs w:val="21"/>
              </w:rPr>
            </w:pPr>
            <w:r>
              <w:rPr>
                <w:rFonts w:hint="eastAsia" w:ascii="宋体" w:hAnsi="宋体" w:eastAsia="宋体" w:cs="宋体"/>
                <w:kern w:val="0"/>
                <w:sz w:val="21"/>
                <w:szCs w:val="21"/>
              </w:rPr>
              <w:t>协助查处违法建筑</w:t>
            </w:r>
          </w:p>
        </w:tc>
        <w:tc>
          <w:tcPr>
            <w:tcW w:w="1802" w:type="dxa"/>
            <w:tcBorders>
              <w:top w:val="single" w:color="auto" w:sz="4" w:space="0"/>
              <w:left w:val="single" w:color="auto" w:sz="4" w:space="0"/>
              <w:bottom w:val="single" w:color="auto" w:sz="4" w:space="0"/>
              <w:right w:val="single" w:color="auto" w:sz="4" w:space="0"/>
            </w:tcBorders>
            <w:vAlign w:val="center"/>
          </w:tcPr>
          <w:p w14:paraId="74399C25">
            <w:pPr>
              <w:widowControl/>
              <w:spacing w:line="320" w:lineRule="exact"/>
              <w:jc w:val="left"/>
              <w:textAlignment w:val="center"/>
              <w:rPr>
                <w:rFonts w:ascii="宋体" w:hAnsi="宋体" w:eastAsia="宋体" w:cs="宋体"/>
                <w:sz w:val="21"/>
                <w:szCs w:val="21"/>
              </w:rPr>
            </w:pPr>
            <w:r>
              <w:rPr>
                <w:rFonts w:hint="eastAsia" w:ascii="宋体" w:hAnsi="宋体" w:eastAsia="宋体" w:cs="宋体"/>
                <w:kern w:val="0"/>
                <w:sz w:val="21"/>
                <w:szCs w:val="21"/>
              </w:rPr>
              <w:t>及时发现、劝阻、举报本区域内修建违法建筑的行为，并配合查处。</w:t>
            </w:r>
          </w:p>
        </w:tc>
        <w:tc>
          <w:tcPr>
            <w:tcW w:w="7846" w:type="dxa"/>
            <w:tcBorders>
              <w:top w:val="single" w:color="auto" w:sz="4" w:space="0"/>
              <w:left w:val="single" w:color="auto" w:sz="4" w:space="0"/>
              <w:bottom w:val="single" w:color="auto" w:sz="4" w:space="0"/>
              <w:right w:val="single" w:color="auto" w:sz="4" w:space="0"/>
            </w:tcBorders>
          </w:tcPr>
          <w:p w14:paraId="501C6C1F">
            <w:pPr>
              <w:autoSpaceDN w:val="0"/>
              <w:spacing w:line="300" w:lineRule="exact"/>
              <w:textAlignment w:val="center"/>
              <w:rPr>
                <w:rFonts w:ascii="宋体" w:hAnsi="宋体" w:eastAsia="宋体" w:cs="宋体"/>
                <w:sz w:val="21"/>
                <w:szCs w:val="21"/>
              </w:rPr>
            </w:pPr>
            <w:r>
              <w:rPr>
                <w:rFonts w:hint="eastAsia" w:ascii="宋体" w:hAnsi="宋体" w:eastAsia="宋体" w:cs="宋体"/>
                <w:sz w:val="21"/>
                <w:szCs w:val="21"/>
              </w:rPr>
              <w:t>1.村（居）民委员会应每日开展巡查工作，做好巡查日志。</w:t>
            </w:r>
          </w:p>
          <w:p w14:paraId="5CD734C7">
            <w:pPr>
              <w:autoSpaceDN w:val="0"/>
              <w:spacing w:line="300" w:lineRule="exact"/>
              <w:textAlignment w:val="center"/>
              <w:rPr>
                <w:rFonts w:ascii="宋体" w:hAnsi="宋体" w:eastAsia="宋体" w:cs="宋体"/>
                <w:sz w:val="21"/>
                <w:szCs w:val="21"/>
              </w:rPr>
            </w:pPr>
            <w:r>
              <w:rPr>
                <w:rFonts w:hint="eastAsia" w:ascii="宋体" w:hAnsi="宋体" w:eastAsia="宋体" w:cs="宋体"/>
                <w:sz w:val="21"/>
                <w:szCs w:val="21"/>
              </w:rPr>
              <w:t>2.发现在建违法建筑应当及时劝阻，并在当日内同时报告有关查处部门和乡（镇）人民政府、街道办事处。</w:t>
            </w:r>
          </w:p>
          <w:p w14:paraId="767C162F">
            <w:pPr>
              <w:autoSpaceDN w:val="0"/>
              <w:spacing w:line="300" w:lineRule="exact"/>
              <w:textAlignment w:val="center"/>
              <w:rPr>
                <w:rFonts w:ascii="宋体" w:hAnsi="宋体" w:eastAsia="宋体" w:cs="宋体"/>
                <w:sz w:val="21"/>
                <w:szCs w:val="21"/>
              </w:rPr>
            </w:pPr>
            <w:r>
              <w:rPr>
                <w:rFonts w:hint="eastAsia" w:ascii="宋体" w:hAnsi="宋体" w:eastAsia="宋体" w:cs="宋体"/>
                <w:sz w:val="21"/>
                <w:szCs w:val="21"/>
              </w:rPr>
              <w:t>3.协助查处部门对违法建筑进行认定、现场勘验等。</w:t>
            </w:r>
          </w:p>
          <w:p w14:paraId="22168B87">
            <w:pPr>
              <w:autoSpaceDN w:val="0"/>
              <w:spacing w:line="300" w:lineRule="exact"/>
              <w:textAlignment w:val="center"/>
              <w:rPr>
                <w:rFonts w:ascii="宋体" w:hAnsi="宋体" w:eastAsia="宋体" w:cs="宋体"/>
                <w:sz w:val="21"/>
                <w:szCs w:val="21"/>
              </w:rPr>
            </w:pPr>
            <w:r>
              <w:rPr>
                <w:rFonts w:hint="eastAsia" w:ascii="宋体" w:hAnsi="宋体" w:eastAsia="宋体" w:cs="宋体"/>
                <w:sz w:val="21"/>
                <w:szCs w:val="21"/>
              </w:rPr>
              <w:t>4.协助查处部门送达有关法律文书等。</w:t>
            </w:r>
          </w:p>
          <w:p w14:paraId="492E3090">
            <w:pPr>
              <w:autoSpaceDN w:val="0"/>
              <w:spacing w:line="300" w:lineRule="exact"/>
              <w:textAlignment w:val="center"/>
              <w:rPr>
                <w:rFonts w:ascii="宋体" w:hAnsi="宋体" w:eastAsia="宋体" w:cs="宋体"/>
                <w:sz w:val="21"/>
                <w:szCs w:val="21"/>
              </w:rPr>
            </w:pPr>
            <w:r>
              <w:rPr>
                <w:rFonts w:hint="eastAsia" w:ascii="宋体" w:hAnsi="宋体" w:eastAsia="宋体" w:cs="宋体"/>
                <w:sz w:val="21"/>
                <w:szCs w:val="21"/>
              </w:rPr>
              <w:t>5.协助乡（镇）人民政府、街道办事处、区县政府对违法建筑开展监管、制止、拆除等工作。</w:t>
            </w:r>
          </w:p>
          <w:p w14:paraId="26DB56E3">
            <w:pPr>
              <w:autoSpaceDN w:val="0"/>
              <w:spacing w:line="300" w:lineRule="exact"/>
              <w:textAlignment w:val="center"/>
              <w:rPr>
                <w:rFonts w:ascii="宋体" w:hAnsi="宋体" w:eastAsia="宋体" w:cs="宋体"/>
              </w:rPr>
            </w:pPr>
            <w:r>
              <w:rPr>
                <w:rFonts w:hint="eastAsia" w:ascii="宋体" w:hAnsi="宋体" w:eastAsia="宋体" w:cs="宋体"/>
                <w:sz w:val="21"/>
                <w:szCs w:val="21"/>
              </w:rPr>
              <w:t>6.协助乡（镇）人民政府、街道办事处、区县政府开展违法建筑整治宣传教育工作。</w:t>
            </w:r>
          </w:p>
        </w:tc>
        <w:tc>
          <w:tcPr>
            <w:tcW w:w="1404" w:type="dxa"/>
            <w:tcBorders>
              <w:top w:val="single" w:color="auto" w:sz="4" w:space="0"/>
              <w:left w:val="single" w:color="auto" w:sz="4" w:space="0"/>
              <w:bottom w:val="single" w:color="auto" w:sz="4" w:space="0"/>
              <w:right w:val="single" w:color="auto" w:sz="4" w:space="0"/>
            </w:tcBorders>
          </w:tcPr>
          <w:p w14:paraId="043A1E6E">
            <w:pPr>
              <w:autoSpaceDN w:val="0"/>
              <w:spacing w:line="320" w:lineRule="exact"/>
              <w:jc w:val="left"/>
              <w:textAlignment w:val="center"/>
              <w:rPr>
                <w:rFonts w:ascii="宋体" w:hAnsi="宋体" w:eastAsia="宋体" w:cs="宋体"/>
                <w:sz w:val="21"/>
                <w:szCs w:val="21"/>
              </w:rPr>
            </w:pPr>
            <w:r>
              <w:rPr>
                <w:rFonts w:hint="eastAsia" w:ascii="宋体" w:hAnsi="宋体" w:eastAsia="宋体" w:cs="宋体"/>
                <w:sz w:val="21"/>
                <w:szCs w:val="21"/>
              </w:rPr>
              <w:t>《重庆市查处违法建筑若干规定》第八条</w:t>
            </w:r>
          </w:p>
        </w:tc>
        <w:tc>
          <w:tcPr>
            <w:tcW w:w="900" w:type="dxa"/>
            <w:tcBorders>
              <w:top w:val="single" w:color="auto" w:sz="4" w:space="0"/>
              <w:left w:val="single" w:color="auto" w:sz="4" w:space="0"/>
              <w:bottom w:val="single" w:color="auto" w:sz="4" w:space="0"/>
              <w:right w:val="single" w:color="auto" w:sz="4" w:space="0"/>
            </w:tcBorders>
          </w:tcPr>
          <w:p w14:paraId="4DEA9A39">
            <w:pPr>
              <w:autoSpaceDN w:val="0"/>
              <w:spacing w:line="320" w:lineRule="exact"/>
              <w:jc w:val="left"/>
              <w:textAlignment w:val="center"/>
              <w:rPr>
                <w:rFonts w:ascii="宋体" w:hAnsi="宋体" w:eastAsia="宋体" w:cs="宋体"/>
                <w:sz w:val="21"/>
                <w:szCs w:val="21"/>
              </w:rPr>
            </w:pPr>
            <w:r>
              <w:rPr>
                <w:rFonts w:hint="eastAsia" w:ascii="宋体" w:hAnsi="宋体" w:eastAsia="宋体" w:cs="宋体"/>
                <w:sz w:val="21"/>
                <w:szCs w:val="21"/>
              </w:rPr>
              <w:t>城市管理部门、规划自然资源部门</w:t>
            </w:r>
          </w:p>
        </w:tc>
        <w:tc>
          <w:tcPr>
            <w:tcW w:w="686" w:type="dxa"/>
            <w:tcBorders>
              <w:top w:val="single" w:color="auto" w:sz="4" w:space="0"/>
              <w:left w:val="single" w:color="auto" w:sz="4" w:space="0"/>
              <w:bottom w:val="single" w:color="auto" w:sz="4" w:space="0"/>
              <w:right w:val="single" w:color="auto" w:sz="4" w:space="0"/>
            </w:tcBorders>
            <w:vAlign w:val="center"/>
          </w:tcPr>
          <w:p w14:paraId="5E57FFE7">
            <w:pPr>
              <w:spacing w:line="320" w:lineRule="exact"/>
              <w:rPr>
                <w:rFonts w:ascii="宋体" w:hAnsi="宋体" w:eastAsia="宋体" w:cs="宋体"/>
                <w:sz w:val="21"/>
                <w:szCs w:val="21"/>
              </w:rPr>
            </w:pPr>
          </w:p>
        </w:tc>
      </w:tr>
      <w:tr w14:paraId="6C8EFD8F">
        <w:tblPrEx>
          <w:tblCellMar>
            <w:top w:w="15" w:type="dxa"/>
            <w:left w:w="15" w:type="dxa"/>
            <w:bottom w:w="15" w:type="dxa"/>
            <w:right w:w="15" w:type="dxa"/>
          </w:tblCellMar>
        </w:tblPrEx>
        <w:trPr>
          <w:trHeight w:val="90" w:hRule="atLeast"/>
          <w:jc w:val="center"/>
        </w:trPr>
        <w:tc>
          <w:tcPr>
            <w:tcW w:w="808" w:type="dxa"/>
            <w:tcBorders>
              <w:top w:val="single" w:color="auto" w:sz="4" w:space="0"/>
              <w:left w:val="single" w:color="auto" w:sz="4" w:space="0"/>
              <w:bottom w:val="single" w:color="auto" w:sz="4" w:space="0"/>
              <w:right w:val="single" w:color="auto" w:sz="4" w:space="0"/>
            </w:tcBorders>
            <w:vAlign w:val="center"/>
          </w:tcPr>
          <w:p w14:paraId="1BB5863D">
            <w:pPr>
              <w:spacing w:line="320" w:lineRule="exact"/>
              <w:jc w:val="center"/>
              <w:rPr>
                <w:rFonts w:ascii="宋体" w:hAnsi="宋体" w:eastAsia="宋体" w:cs="宋体"/>
                <w:sz w:val="21"/>
                <w:szCs w:val="21"/>
              </w:rPr>
            </w:pPr>
            <w:r>
              <w:rPr>
                <w:rFonts w:hint="eastAsia" w:ascii="宋体" w:hAnsi="宋体" w:eastAsia="宋体" w:cs="宋体"/>
                <w:sz w:val="21"/>
                <w:szCs w:val="21"/>
              </w:rPr>
              <w:t>11</w:t>
            </w:r>
          </w:p>
        </w:tc>
        <w:tc>
          <w:tcPr>
            <w:tcW w:w="1314" w:type="dxa"/>
            <w:tcBorders>
              <w:top w:val="single" w:color="auto" w:sz="4" w:space="0"/>
              <w:left w:val="single" w:color="auto" w:sz="4" w:space="0"/>
              <w:bottom w:val="single" w:color="auto" w:sz="4" w:space="0"/>
              <w:right w:val="single" w:color="auto" w:sz="4" w:space="0"/>
            </w:tcBorders>
            <w:vAlign w:val="center"/>
          </w:tcPr>
          <w:p w14:paraId="25140F56">
            <w:pPr>
              <w:widowControl/>
              <w:spacing w:line="320" w:lineRule="exact"/>
              <w:textAlignment w:val="center"/>
              <w:rPr>
                <w:rFonts w:ascii="宋体" w:hAnsi="宋体" w:eastAsia="宋体" w:cs="宋体"/>
                <w:sz w:val="21"/>
                <w:szCs w:val="21"/>
              </w:rPr>
            </w:pPr>
            <w:r>
              <w:rPr>
                <w:rFonts w:hint="eastAsia" w:ascii="宋体" w:hAnsi="宋体" w:eastAsia="宋体" w:cs="宋体"/>
                <w:kern w:val="0"/>
                <w:sz w:val="21"/>
                <w:szCs w:val="21"/>
              </w:rPr>
              <w:t>协助维护本辖区的社会治安</w:t>
            </w:r>
          </w:p>
        </w:tc>
        <w:tc>
          <w:tcPr>
            <w:tcW w:w="1802" w:type="dxa"/>
            <w:tcBorders>
              <w:top w:val="single" w:color="auto" w:sz="4" w:space="0"/>
              <w:left w:val="single" w:color="auto" w:sz="4" w:space="0"/>
              <w:bottom w:val="single" w:color="auto" w:sz="4" w:space="0"/>
              <w:right w:val="single" w:color="auto" w:sz="4" w:space="0"/>
            </w:tcBorders>
            <w:vAlign w:val="center"/>
          </w:tcPr>
          <w:p w14:paraId="4C25FC6D">
            <w:pPr>
              <w:widowControl/>
              <w:spacing w:line="320" w:lineRule="exact"/>
              <w:jc w:val="left"/>
              <w:textAlignment w:val="center"/>
              <w:rPr>
                <w:rFonts w:ascii="宋体" w:hAnsi="宋体" w:eastAsia="宋体" w:cs="宋体"/>
                <w:sz w:val="21"/>
                <w:szCs w:val="21"/>
              </w:rPr>
            </w:pPr>
            <w:r>
              <w:rPr>
                <w:rFonts w:hint="eastAsia" w:ascii="宋体" w:hAnsi="宋体" w:eastAsia="宋体" w:cs="宋体"/>
                <w:kern w:val="0"/>
                <w:sz w:val="21"/>
                <w:szCs w:val="21"/>
              </w:rPr>
              <w:t>村委会应当协助维护本村的社会治安和生产生活秩序；居委会应当协助维护本社区的社会治安。</w:t>
            </w:r>
          </w:p>
        </w:tc>
        <w:tc>
          <w:tcPr>
            <w:tcW w:w="7846" w:type="dxa"/>
            <w:tcBorders>
              <w:top w:val="single" w:color="auto" w:sz="4" w:space="0"/>
              <w:left w:val="single" w:color="auto" w:sz="4" w:space="0"/>
              <w:bottom w:val="single" w:color="auto" w:sz="4" w:space="0"/>
              <w:right w:val="single" w:color="auto" w:sz="4" w:space="0"/>
            </w:tcBorders>
            <w:vAlign w:val="center"/>
          </w:tcPr>
          <w:p w14:paraId="09089EA2">
            <w:pPr>
              <w:spacing w:line="320" w:lineRule="exact"/>
              <w:rPr>
                <w:rFonts w:ascii="宋体" w:hAnsi="宋体" w:eastAsia="宋体" w:cs="宋体"/>
                <w:sz w:val="21"/>
                <w:szCs w:val="21"/>
              </w:rPr>
            </w:pPr>
            <w:r>
              <w:rPr>
                <w:rFonts w:hint="eastAsia" w:ascii="宋体" w:hAnsi="宋体" w:eastAsia="宋体" w:cs="宋体"/>
                <w:sz w:val="21"/>
                <w:szCs w:val="21"/>
              </w:rPr>
              <w:t>1.开展对居民的法制教育、道德教育和社会治安综合治理教育，提高居民遵纪守法意识。</w:t>
            </w:r>
          </w:p>
          <w:p w14:paraId="7A217006">
            <w:pPr>
              <w:spacing w:line="320" w:lineRule="exact"/>
              <w:rPr>
                <w:rFonts w:ascii="宋体" w:hAnsi="宋体" w:eastAsia="宋体" w:cs="宋体"/>
                <w:sz w:val="21"/>
                <w:szCs w:val="21"/>
              </w:rPr>
            </w:pPr>
            <w:r>
              <w:rPr>
                <w:rFonts w:hint="eastAsia" w:ascii="宋体" w:hAnsi="宋体" w:eastAsia="宋体" w:cs="宋体"/>
                <w:sz w:val="21"/>
                <w:szCs w:val="21"/>
              </w:rPr>
              <w:t>2.适时排查各类矛盾纠纷和不稳定因素，并采取积极措施给予处理或协助有关部门妥善处理。</w:t>
            </w:r>
          </w:p>
          <w:p w14:paraId="4D553E36">
            <w:pPr>
              <w:spacing w:line="320" w:lineRule="exact"/>
              <w:rPr>
                <w:rFonts w:ascii="宋体" w:hAnsi="宋体" w:eastAsia="宋体" w:cs="宋体"/>
                <w:sz w:val="21"/>
                <w:szCs w:val="21"/>
              </w:rPr>
            </w:pPr>
            <w:r>
              <w:rPr>
                <w:rFonts w:hint="eastAsia" w:ascii="宋体" w:hAnsi="宋体" w:eastAsia="宋体" w:cs="宋体"/>
                <w:sz w:val="21"/>
                <w:szCs w:val="21"/>
              </w:rPr>
              <w:t>3.组织单位、居民开展治安联防，并督促落实防盗、防火、防破坏、防治安灾害事故等防范措施。</w:t>
            </w:r>
          </w:p>
          <w:p w14:paraId="38D4AFF8">
            <w:pPr>
              <w:spacing w:line="320" w:lineRule="exact"/>
              <w:rPr>
                <w:rFonts w:ascii="宋体" w:hAnsi="宋体" w:eastAsia="宋体" w:cs="宋体"/>
                <w:sz w:val="21"/>
                <w:szCs w:val="21"/>
              </w:rPr>
            </w:pPr>
            <w:r>
              <w:rPr>
                <w:rFonts w:hint="eastAsia" w:ascii="宋体" w:hAnsi="宋体" w:eastAsia="宋体" w:cs="宋体"/>
                <w:sz w:val="21"/>
                <w:szCs w:val="21"/>
              </w:rPr>
              <w:t>4.加强人民调解、安置帮教和社区矫正工作，防止重新犯罪和民转刑案件。</w:t>
            </w:r>
          </w:p>
          <w:p w14:paraId="230E3CC5">
            <w:pPr>
              <w:spacing w:line="320" w:lineRule="exact"/>
              <w:rPr>
                <w:rFonts w:ascii="宋体" w:hAnsi="宋体" w:eastAsia="宋体" w:cs="宋体"/>
                <w:sz w:val="21"/>
                <w:szCs w:val="21"/>
              </w:rPr>
            </w:pPr>
            <w:r>
              <w:rPr>
                <w:rFonts w:hint="eastAsia" w:ascii="宋体" w:hAnsi="宋体" w:eastAsia="宋体" w:cs="宋体"/>
                <w:sz w:val="21"/>
                <w:szCs w:val="21"/>
              </w:rPr>
              <w:t>5.协助政法机关和有关部门加强烟花爆竹、废品收购站、出租房以及其他治安问题的管理，防止案件和事故的发生。</w:t>
            </w:r>
          </w:p>
          <w:p w14:paraId="12C7E03F">
            <w:pPr>
              <w:spacing w:line="320" w:lineRule="exact"/>
              <w:rPr>
                <w:rFonts w:ascii="宋体" w:hAnsi="宋体" w:eastAsia="宋体" w:cs="宋体"/>
                <w:sz w:val="21"/>
                <w:szCs w:val="21"/>
              </w:rPr>
            </w:pPr>
            <w:r>
              <w:rPr>
                <w:rFonts w:hint="eastAsia" w:ascii="宋体" w:hAnsi="宋体" w:eastAsia="宋体" w:cs="宋体"/>
                <w:sz w:val="21"/>
                <w:szCs w:val="21"/>
              </w:rPr>
              <w:t>6.组织单位、居民积极参加社会治理和平安乡村、平安社区创建活动。</w:t>
            </w:r>
          </w:p>
          <w:p w14:paraId="2C6DAA8B">
            <w:pPr>
              <w:pStyle w:val="2"/>
              <w:spacing w:before="0" w:after="0" w:line="320" w:lineRule="exact"/>
              <w:rPr>
                <w:rFonts w:ascii="宋体" w:hAnsi="宋体" w:eastAsia="宋体" w:cs="宋体"/>
                <w:sz w:val="21"/>
                <w:szCs w:val="21"/>
              </w:rPr>
            </w:pPr>
            <w:r>
              <w:rPr>
                <w:rFonts w:hint="eastAsia" w:ascii="宋体" w:hAnsi="宋体" w:eastAsia="宋体" w:cs="宋体"/>
                <w:b w:val="0"/>
                <w:bCs w:val="0"/>
                <w:sz w:val="21"/>
                <w:szCs w:val="21"/>
              </w:rPr>
              <w:t>7.协助有关部门做好严重精神障碍患者、吸毒人员等特殊人群的服务管理工作。</w:t>
            </w:r>
          </w:p>
        </w:tc>
        <w:tc>
          <w:tcPr>
            <w:tcW w:w="1404" w:type="dxa"/>
            <w:tcBorders>
              <w:top w:val="single" w:color="auto" w:sz="4" w:space="0"/>
              <w:left w:val="single" w:color="auto" w:sz="4" w:space="0"/>
              <w:bottom w:val="single" w:color="auto" w:sz="4" w:space="0"/>
              <w:right w:val="single" w:color="auto" w:sz="4" w:space="0"/>
            </w:tcBorders>
            <w:vAlign w:val="center"/>
          </w:tcPr>
          <w:p w14:paraId="018B1DBD">
            <w:pPr>
              <w:spacing w:line="320" w:lineRule="exact"/>
              <w:jc w:val="left"/>
              <w:rPr>
                <w:rFonts w:ascii="宋体" w:hAnsi="宋体" w:eastAsia="宋体" w:cs="宋体"/>
                <w:sz w:val="21"/>
                <w:szCs w:val="21"/>
              </w:rPr>
            </w:pPr>
            <w:r>
              <w:rPr>
                <w:rFonts w:hint="eastAsia" w:ascii="宋体" w:hAnsi="宋体" w:eastAsia="宋体" w:cs="宋体"/>
                <w:sz w:val="21"/>
                <w:szCs w:val="21"/>
              </w:rPr>
              <w:t>《中华人民共和国村民委员会组织法》第二条</w:t>
            </w:r>
          </w:p>
          <w:p w14:paraId="4F2680EA">
            <w:pPr>
              <w:spacing w:line="320" w:lineRule="exact"/>
              <w:jc w:val="left"/>
              <w:rPr>
                <w:rFonts w:ascii="宋体" w:hAnsi="宋体" w:eastAsia="宋体" w:cs="宋体"/>
                <w:sz w:val="21"/>
                <w:szCs w:val="21"/>
              </w:rPr>
            </w:pPr>
            <w:r>
              <w:rPr>
                <w:rFonts w:hint="eastAsia" w:ascii="宋体" w:hAnsi="宋体" w:eastAsia="宋体" w:cs="宋体"/>
                <w:sz w:val="21"/>
                <w:szCs w:val="21"/>
              </w:rPr>
              <w:t>《中华人民共和国城市居民委员会组织法》第三条</w:t>
            </w:r>
          </w:p>
          <w:p w14:paraId="53390833">
            <w:pPr>
              <w:spacing w:line="320" w:lineRule="exact"/>
              <w:jc w:val="left"/>
              <w:rPr>
                <w:rFonts w:ascii="宋体" w:hAnsi="宋体" w:eastAsia="宋体" w:cs="宋体"/>
                <w:sz w:val="21"/>
                <w:szCs w:val="21"/>
              </w:rPr>
            </w:pPr>
            <w:r>
              <w:rPr>
                <w:rFonts w:hint="eastAsia" w:ascii="宋体" w:hAnsi="宋体" w:eastAsia="宋体" w:cs="宋体"/>
                <w:sz w:val="21"/>
                <w:szCs w:val="21"/>
              </w:rPr>
              <w:t>《重庆市实施&lt;中华人民共和国村民委员会组织法&gt;办法》第十六条</w:t>
            </w:r>
          </w:p>
        </w:tc>
        <w:tc>
          <w:tcPr>
            <w:tcW w:w="900" w:type="dxa"/>
            <w:tcBorders>
              <w:top w:val="single" w:color="auto" w:sz="4" w:space="0"/>
              <w:left w:val="single" w:color="auto" w:sz="4" w:space="0"/>
              <w:bottom w:val="single" w:color="auto" w:sz="4" w:space="0"/>
              <w:right w:val="single" w:color="auto" w:sz="4" w:space="0"/>
            </w:tcBorders>
            <w:vAlign w:val="center"/>
          </w:tcPr>
          <w:p w14:paraId="31C50A27">
            <w:pPr>
              <w:spacing w:line="320" w:lineRule="exact"/>
              <w:jc w:val="left"/>
              <w:rPr>
                <w:rFonts w:ascii="宋体" w:hAnsi="宋体" w:eastAsia="宋体" w:cs="宋体"/>
                <w:sz w:val="21"/>
                <w:szCs w:val="21"/>
              </w:rPr>
            </w:pPr>
            <w:r>
              <w:rPr>
                <w:rFonts w:hint="eastAsia" w:ascii="宋体" w:hAnsi="宋体" w:eastAsia="宋体" w:cs="宋体"/>
                <w:sz w:val="21"/>
                <w:szCs w:val="21"/>
              </w:rPr>
              <w:t>政法部门</w:t>
            </w:r>
          </w:p>
        </w:tc>
        <w:tc>
          <w:tcPr>
            <w:tcW w:w="686" w:type="dxa"/>
            <w:tcBorders>
              <w:top w:val="single" w:color="auto" w:sz="4" w:space="0"/>
              <w:left w:val="single" w:color="auto" w:sz="4" w:space="0"/>
              <w:bottom w:val="single" w:color="auto" w:sz="4" w:space="0"/>
              <w:right w:val="single" w:color="auto" w:sz="4" w:space="0"/>
            </w:tcBorders>
            <w:vAlign w:val="center"/>
          </w:tcPr>
          <w:p w14:paraId="5499319E">
            <w:pPr>
              <w:spacing w:line="320" w:lineRule="exact"/>
              <w:rPr>
                <w:rFonts w:ascii="宋体" w:hAnsi="宋体" w:eastAsia="宋体" w:cs="宋体"/>
                <w:sz w:val="21"/>
                <w:szCs w:val="21"/>
              </w:rPr>
            </w:pPr>
          </w:p>
        </w:tc>
      </w:tr>
      <w:tr w14:paraId="31468D6F">
        <w:tblPrEx>
          <w:tblCellMar>
            <w:top w:w="15" w:type="dxa"/>
            <w:left w:w="15" w:type="dxa"/>
            <w:bottom w:w="15" w:type="dxa"/>
            <w:right w:w="15" w:type="dxa"/>
          </w:tblCellMar>
        </w:tblPrEx>
        <w:trPr>
          <w:trHeight w:val="3175" w:hRule="atLeast"/>
          <w:jc w:val="center"/>
        </w:trPr>
        <w:tc>
          <w:tcPr>
            <w:tcW w:w="808" w:type="dxa"/>
            <w:tcBorders>
              <w:top w:val="single" w:color="auto" w:sz="4" w:space="0"/>
              <w:left w:val="single" w:color="auto" w:sz="4" w:space="0"/>
              <w:bottom w:val="single" w:color="auto" w:sz="4" w:space="0"/>
              <w:right w:val="single" w:color="auto" w:sz="4" w:space="0"/>
            </w:tcBorders>
            <w:vAlign w:val="center"/>
          </w:tcPr>
          <w:p w14:paraId="0BD55A4E">
            <w:pPr>
              <w:spacing w:line="320" w:lineRule="exact"/>
              <w:jc w:val="center"/>
              <w:rPr>
                <w:rFonts w:ascii="宋体" w:hAnsi="宋体" w:eastAsia="宋体" w:cs="宋体"/>
                <w:sz w:val="21"/>
                <w:szCs w:val="21"/>
              </w:rPr>
            </w:pPr>
            <w:r>
              <w:rPr>
                <w:rFonts w:hint="eastAsia" w:ascii="宋体" w:hAnsi="宋体" w:eastAsia="宋体" w:cs="宋体"/>
                <w:sz w:val="21"/>
                <w:szCs w:val="21"/>
              </w:rPr>
              <w:t>12</w:t>
            </w:r>
          </w:p>
        </w:tc>
        <w:tc>
          <w:tcPr>
            <w:tcW w:w="1314" w:type="dxa"/>
            <w:tcBorders>
              <w:top w:val="single" w:color="auto" w:sz="4" w:space="0"/>
              <w:left w:val="single" w:color="auto" w:sz="4" w:space="0"/>
              <w:bottom w:val="single" w:color="auto" w:sz="4" w:space="0"/>
              <w:right w:val="single" w:color="auto" w:sz="4" w:space="0"/>
            </w:tcBorders>
            <w:vAlign w:val="center"/>
          </w:tcPr>
          <w:p w14:paraId="618249CD">
            <w:pPr>
              <w:widowControl/>
              <w:spacing w:line="320" w:lineRule="exact"/>
              <w:textAlignment w:val="center"/>
              <w:rPr>
                <w:rFonts w:ascii="宋体" w:hAnsi="宋体" w:eastAsia="宋体" w:cs="宋体"/>
                <w:sz w:val="21"/>
                <w:szCs w:val="21"/>
              </w:rPr>
            </w:pPr>
            <w:r>
              <w:rPr>
                <w:rFonts w:hint="eastAsia" w:ascii="宋体" w:hAnsi="宋体" w:eastAsia="宋体" w:cs="宋体"/>
                <w:kern w:val="0"/>
                <w:sz w:val="21"/>
                <w:szCs w:val="21"/>
              </w:rPr>
              <w:t>协助开展流动人口计划生育服务管理工作</w:t>
            </w:r>
          </w:p>
        </w:tc>
        <w:tc>
          <w:tcPr>
            <w:tcW w:w="1802" w:type="dxa"/>
            <w:tcBorders>
              <w:top w:val="single" w:color="auto" w:sz="4" w:space="0"/>
              <w:left w:val="single" w:color="auto" w:sz="4" w:space="0"/>
              <w:bottom w:val="single" w:color="auto" w:sz="4" w:space="0"/>
              <w:right w:val="single" w:color="auto" w:sz="4" w:space="0"/>
            </w:tcBorders>
            <w:vAlign w:val="center"/>
          </w:tcPr>
          <w:p w14:paraId="3337D402">
            <w:pPr>
              <w:widowControl/>
              <w:spacing w:line="320" w:lineRule="exact"/>
              <w:jc w:val="left"/>
              <w:textAlignment w:val="center"/>
              <w:rPr>
                <w:rFonts w:ascii="宋体" w:hAnsi="宋体" w:eastAsia="宋体" w:cs="宋体"/>
                <w:sz w:val="21"/>
                <w:szCs w:val="21"/>
              </w:rPr>
            </w:pPr>
            <w:r>
              <w:rPr>
                <w:rFonts w:hint="eastAsia" w:ascii="宋体" w:hAnsi="宋体" w:eastAsia="宋体" w:cs="宋体"/>
                <w:kern w:val="0"/>
                <w:sz w:val="21"/>
                <w:szCs w:val="21"/>
              </w:rPr>
              <w:t>协助做好流动人口婚育情况登记工作，了解本村或者本居住地区流动人口计划生育情况，及时报告相关信息。</w:t>
            </w:r>
          </w:p>
        </w:tc>
        <w:tc>
          <w:tcPr>
            <w:tcW w:w="7846" w:type="dxa"/>
            <w:tcBorders>
              <w:top w:val="single" w:color="auto" w:sz="4" w:space="0"/>
              <w:left w:val="single" w:color="auto" w:sz="4" w:space="0"/>
              <w:bottom w:val="single" w:color="auto" w:sz="4" w:space="0"/>
              <w:right w:val="single" w:color="auto" w:sz="4" w:space="0"/>
            </w:tcBorders>
            <w:vAlign w:val="center"/>
          </w:tcPr>
          <w:p w14:paraId="5A4E311B">
            <w:pPr>
              <w:widowControl/>
              <w:adjustRightInd w:val="0"/>
              <w:snapToGrid w:val="0"/>
              <w:jc w:val="left"/>
              <w:textAlignment w:val="center"/>
              <w:rPr>
                <w:rStyle w:val="13"/>
                <w:rFonts w:hint="default"/>
                <w:color w:val="auto"/>
                <w:sz w:val="21"/>
                <w:szCs w:val="21"/>
              </w:rPr>
            </w:pPr>
            <w:r>
              <w:rPr>
                <w:rStyle w:val="13"/>
                <w:color w:val="auto"/>
                <w:sz w:val="21"/>
                <w:szCs w:val="21"/>
              </w:rPr>
              <w:t xml:space="preserve">1.协助乡（镇）人民政府、街道办事处开展入户调查、邻里访问等工作，了解流动人员家庭人员情况、户籍地居住地地址、流动时间、流动原因、是否家庭流动等信息，并录入到信息系统。        </w:t>
            </w:r>
            <w:r>
              <w:rPr>
                <w:rStyle w:val="13"/>
                <w:color w:val="auto"/>
                <w:sz w:val="21"/>
                <w:szCs w:val="21"/>
              </w:rPr>
              <w:br w:type="textWrapping"/>
            </w:r>
            <w:r>
              <w:rPr>
                <w:rStyle w:val="13"/>
                <w:color w:val="auto"/>
                <w:sz w:val="21"/>
                <w:szCs w:val="21"/>
              </w:rPr>
              <w:t>2.协助乡（镇）人民政府、街道办事处通过开展入户调查、邻里访问等工作，了解流动人员及家庭变动情况，包括出生死亡变动，离开返回情况，并将变动情况录入到信息系统。</w:t>
            </w:r>
          </w:p>
          <w:p w14:paraId="46E5CFB7">
            <w:pPr>
              <w:widowControl/>
              <w:adjustRightInd w:val="0"/>
              <w:snapToGrid w:val="0"/>
              <w:jc w:val="left"/>
              <w:textAlignment w:val="center"/>
              <w:rPr>
                <w:rFonts w:ascii="宋体" w:hAnsi="宋体" w:eastAsia="宋体" w:cs="宋体"/>
                <w:sz w:val="21"/>
                <w:szCs w:val="21"/>
              </w:rPr>
            </w:pPr>
            <w:r>
              <w:rPr>
                <w:rStyle w:val="13"/>
                <w:color w:val="auto"/>
                <w:sz w:val="21"/>
                <w:szCs w:val="21"/>
              </w:rPr>
              <w:t xml:space="preserve">3.协助乡（镇）人民政府、街道办事处对需要办理流动人口婚育证明的给予办理和查验。            </w:t>
            </w:r>
            <w:r>
              <w:rPr>
                <w:rStyle w:val="13"/>
                <w:color w:val="auto"/>
                <w:sz w:val="21"/>
                <w:szCs w:val="21"/>
              </w:rPr>
              <w:br w:type="textWrapping"/>
            </w:r>
            <w:r>
              <w:rPr>
                <w:rStyle w:val="13"/>
                <w:color w:val="auto"/>
                <w:sz w:val="21"/>
                <w:szCs w:val="21"/>
              </w:rPr>
              <w:t>4.协助乡（镇）人民政府、街道办事处做好流动人口基本公共卫生服务宣传，宣传流动人口的权利义务、流动人口婚育证明办理流程等政策。</w:t>
            </w:r>
          </w:p>
        </w:tc>
        <w:tc>
          <w:tcPr>
            <w:tcW w:w="1404" w:type="dxa"/>
            <w:tcBorders>
              <w:top w:val="single" w:color="auto" w:sz="4" w:space="0"/>
              <w:left w:val="single" w:color="auto" w:sz="4" w:space="0"/>
              <w:bottom w:val="single" w:color="auto" w:sz="4" w:space="0"/>
              <w:right w:val="single" w:color="auto" w:sz="4" w:space="0"/>
            </w:tcBorders>
            <w:vAlign w:val="center"/>
          </w:tcPr>
          <w:p w14:paraId="7D8A4E3B">
            <w:pPr>
              <w:widowControl/>
              <w:spacing w:line="320" w:lineRule="exact"/>
              <w:jc w:val="left"/>
              <w:textAlignment w:val="center"/>
              <w:rPr>
                <w:rStyle w:val="13"/>
                <w:rFonts w:hint="default"/>
                <w:color w:val="auto"/>
                <w:sz w:val="21"/>
                <w:szCs w:val="21"/>
              </w:rPr>
            </w:pPr>
            <w:r>
              <w:rPr>
                <w:rStyle w:val="13"/>
                <w:color w:val="auto"/>
                <w:sz w:val="21"/>
                <w:szCs w:val="21"/>
              </w:rPr>
              <w:t>《流动人口计划生育工作条例》第八条、第十四条</w:t>
            </w:r>
          </w:p>
        </w:tc>
        <w:tc>
          <w:tcPr>
            <w:tcW w:w="900" w:type="dxa"/>
            <w:tcBorders>
              <w:top w:val="single" w:color="auto" w:sz="4" w:space="0"/>
              <w:left w:val="single" w:color="auto" w:sz="4" w:space="0"/>
              <w:bottom w:val="single" w:color="auto" w:sz="4" w:space="0"/>
              <w:right w:val="single" w:color="auto" w:sz="4" w:space="0"/>
            </w:tcBorders>
            <w:vAlign w:val="center"/>
          </w:tcPr>
          <w:p w14:paraId="1F83EAAF">
            <w:pPr>
              <w:spacing w:line="320" w:lineRule="exact"/>
              <w:jc w:val="left"/>
              <w:rPr>
                <w:rFonts w:ascii="宋体" w:hAnsi="宋体" w:eastAsia="宋体" w:cs="宋体"/>
                <w:sz w:val="21"/>
                <w:szCs w:val="21"/>
              </w:rPr>
            </w:pPr>
            <w:r>
              <w:rPr>
                <w:rFonts w:hint="eastAsia" w:ascii="宋体" w:hAnsi="宋体" w:eastAsia="宋体" w:cs="宋体"/>
                <w:sz w:val="21"/>
                <w:szCs w:val="21"/>
              </w:rPr>
              <w:t>卫生健康部门</w:t>
            </w:r>
          </w:p>
        </w:tc>
        <w:tc>
          <w:tcPr>
            <w:tcW w:w="686" w:type="dxa"/>
            <w:tcBorders>
              <w:top w:val="single" w:color="auto" w:sz="4" w:space="0"/>
              <w:left w:val="single" w:color="auto" w:sz="4" w:space="0"/>
              <w:bottom w:val="single" w:color="auto" w:sz="4" w:space="0"/>
              <w:right w:val="single" w:color="auto" w:sz="4" w:space="0"/>
            </w:tcBorders>
            <w:vAlign w:val="center"/>
          </w:tcPr>
          <w:p w14:paraId="5CAFE09F">
            <w:pPr>
              <w:spacing w:line="320" w:lineRule="exact"/>
              <w:rPr>
                <w:rFonts w:ascii="宋体" w:hAnsi="宋体" w:eastAsia="宋体" w:cs="宋体"/>
                <w:sz w:val="21"/>
                <w:szCs w:val="21"/>
              </w:rPr>
            </w:pPr>
          </w:p>
        </w:tc>
      </w:tr>
      <w:tr w14:paraId="3134EDF9">
        <w:tblPrEx>
          <w:tblCellMar>
            <w:top w:w="15" w:type="dxa"/>
            <w:left w:w="15" w:type="dxa"/>
            <w:bottom w:w="15" w:type="dxa"/>
            <w:right w:w="15" w:type="dxa"/>
          </w:tblCellMar>
        </w:tblPrEx>
        <w:trPr>
          <w:trHeight w:val="814" w:hRule="atLeast"/>
          <w:jc w:val="center"/>
        </w:trPr>
        <w:tc>
          <w:tcPr>
            <w:tcW w:w="808" w:type="dxa"/>
            <w:tcBorders>
              <w:top w:val="single" w:color="auto" w:sz="4" w:space="0"/>
              <w:left w:val="single" w:color="auto" w:sz="4" w:space="0"/>
              <w:bottom w:val="single" w:color="auto" w:sz="4" w:space="0"/>
              <w:right w:val="single" w:color="auto" w:sz="4" w:space="0"/>
            </w:tcBorders>
            <w:vAlign w:val="center"/>
          </w:tcPr>
          <w:p w14:paraId="2800DC55">
            <w:pPr>
              <w:spacing w:line="320" w:lineRule="exact"/>
              <w:jc w:val="center"/>
              <w:rPr>
                <w:rFonts w:ascii="宋体" w:hAnsi="宋体" w:eastAsia="宋体" w:cs="宋体"/>
                <w:sz w:val="21"/>
                <w:szCs w:val="21"/>
              </w:rPr>
            </w:pPr>
            <w:r>
              <w:rPr>
                <w:rFonts w:hint="eastAsia" w:ascii="宋体" w:hAnsi="宋体" w:eastAsia="宋体" w:cs="宋体"/>
                <w:sz w:val="21"/>
                <w:szCs w:val="21"/>
              </w:rPr>
              <w:t>13</w:t>
            </w:r>
          </w:p>
        </w:tc>
        <w:tc>
          <w:tcPr>
            <w:tcW w:w="1314" w:type="dxa"/>
            <w:tcBorders>
              <w:top w:val="single" w:color="auto" w:sz="4" w:space="0"/>
              <w:left w:val="single" w:color="auto" w:sz="4" w:space="0"/>
              <w:bottom w:val="single" w:color="auto" w:sz="4" w:space="0"/>
              <w:right w:val="single" w:color="auto" w:sz="4" w:space="0"/>
            </w:tcBorders>
            <w:vAlign w:val="center"/>
          </w:tcPr>
          <w:p w14:paraId="59DB4C02">
            <w:pPr>
              <w:widowControl/>
              <w:spacing w:line="320" w:lineRule="exact"/>
              <w:textAlignment w:val="center"/>
              <w:rPr>
                <w:rFonts w:ascii="宋体" w:hAnsi="宋体" w:eastAsia="宋体" w:cs="宋体"/>
                <w:sz w:val="21"/>
                <w:szCs w:val="21"/>
              </w:rPr>
            </w:pPr>
            <w:r>
              <w:rPr>
                <w:rFonts w:hint="eastAsia" w:ascii="宋体" w:hAnsi="宋体" w:eastAsia="宋体" w:cs="宋体"/>
                <w:kern w:val="0"/>
                <w:sz w:val="21"/>
                <w:szCs w:val="21"/>
              </w:rPr>
              <w:t>协助开展人口计生宣传教育、生育登记、统计工作</w:t>
            </w:r>
          </w:p>
        </w:tc>
        <w:tc>
          <w:tcPr>
            <w:tcW w:w="1802" w:type="dxa"/>
            <w:tcBorders>
              <w:top w:val="single" w:color="auto" w:sz="4" w:space="0"/>
              <w:left w:val="single" w:color="auto" w:sz="4" w:space="0"/>
              <w:bottom w:val="single" w:color="auto" w:sz="4" w:space="0"/>
              <w:right w:val="single" w:color="auto" w:sz="4" w:space="0"/>
            </w:tcBorders>
            <w:vAlign w:val="center"/>
          </w:tcPr>
          <w:p w14:paraId="4D10382D">
            <w:pPr>
              <w:widowControl/>
              <w:spacing w:line="320" w:lineRule="exact"/>
              <w:jc w:val="left"/>
              <w:textAlignment w:val="center"/>
              <w:rPr>
                <w:rFonts w:ascii="宋体" w:hAnsi="宋体" w:eastAsia="宋体" w:cs="宋体"/>
                <w:sz w:val="21"/>
                <w:szCs w:val="21"/>
              </w:rPr>
            </w:pPr>
            <w:r>
              <w:rPr>
                <w:rFonts w:hint="eastAsia" w:ascii="宋体" w:hAnsi="宋体" w:eastAsia="宋体" w:cs="宋体"/>
                <w:kern w:val="0"/>
                <w:sz w:val="21"/>
                <w:szCs w:val="21"/>
              </w:rPr>
              <w:t>协助开展经常性的人口和计划生育宣传教育，办理生育登记，按照规定填报人口和计划生育统计报表。</w:t>
            </w:r>
          </w:p>
        </w:tc>
        <w:tc>
          <w:tcPr>
            <w:tcW w:w="7846" w:type="dxa"/>
            <w:tcBorders>
              <w:top w:val="single" w:color="auto" w:sz="4" w:space="0"/>
              <w:left w:val="single" w:color="auto" w:sz="4" w:space="0"/>
              <w:bottom w:val="single" w:color="auto" w:sz="4" w:space="0"/>
              <w:right w:val="single" w:color="auto" w:sz="4" w:space="0"/>
            </w:tcBorders>
            <w:vAlign w:val="center"/>
          </w:tcPr>
          <w:p w14:paraId="77CEA96F">
            <w:pPr>
              <w:widowControl/>
              <w:adjustRightInd w:val="0"/>
              <w:snapToGrid w:val="0"/>
              <w:jc w:val="left"/>
              <w:textAlignment w:val="center"/>
              <w:rPr>
                <w:rFonts w:ascii="宋体" w:hAnsi="宋体" w:eastAsia="宋体" w:cs="宋体"/>
                <w:kern w:val="0"/>
                <w:sz w:val="21"/>
                <w:szCs w:val="21"/>
              </w:rPr>
            </w:pPr>
            <w:r>
              <w:rPr>
                <w:rFonts w:hint="eastAsia" w:ascii="宋体" w:hAnsi="宋体" w:eastAsia="宋体" w:cs="宋体"/>
                <w:kern w:val="0"/>
                <w:sz w:val="21"/>
                <w:szCs w:val="21"/>
              </w:rPr>
              <w:t>1.协助乡（镇）人民政府、街道办事处做好人口和计划生育政策宣传、计划生育证件办理流程、优生优育及基本公共卫生服务宣传。</w:t>
            </w:r>
          </w:p>
          <w:p w14:paraId="21EA96BF">
            <w:pPr>
              <w:widowControl/>
              <w:adjustRightInd w:val="0"/>
              <w:snapToGrid w:val="0"/>
              <w:jc w:val="left"/>
              <w:textAlignment w:val="center"/>
              <w:rPr>
                <w:rFonts w:ascii="宋体" w:hAnsi="宋体" w:eastAsia="宋体" w:cs="宋体"/>
                <w:kern w:val="0"/>
                <w:sz w:val="21"/>
                <w:szCs w:val="21"/>
              </w:rPr>
            </w:pPr>
            <w:r>
              <w:rPr>
                <w:rFonts w:hint="eastAsia" w:ascii="宋体" w:hAnsi="宋体" w:eastAsia="宋体" w:cs="宋体"/>
                <w:kern w:val="0"/>
                <w:sz w:val="21"/>
                <w:szCs w:val="21"/>
              </w:rPr>
              <w:t>2.协助乡（镇）人民政府、街道办事处开展入户调查、邻里访问、上级交换反馈信息等工作，了解掌握辖区居民人口和计划生育基本情况和变动情况，并录入信息系统完成计划生育统计上报。</w:t>
            </w:r>
          </w:p>
          <w:p w14:paraId="7C209AAD">
            <w:pPr>
              <w:widowControl/>
              <w:adjustRightInd w:val="0"/>
              <w:snapToGrid w:val="0"/>
              <w:jc w:val="left"/>
              <w:textAlignment w:val="center"/>
              <w:rPr>
                <w:rFonts w:ascii="宋体" w:hAnsi="宋体" w:eastAsia="宋体" w:cs="宋体"/>
                <w:kern w:val="0"/>
                <w:sz w:val="21"/>
                <w:szCs w:val="21"/>
              </w:rPr>
            </w:pPr>
            <w:r>
              <w:rPr>
                <w:rFonts w:hint="eastAsia" w:ascii="宋体" w:hAnsi="宋体" w:eastAsia="宋体" w:cs="宋体"/>
                <w:kern w:val="0"/>
                <w:sz w:val="21"/>
                <w:szCs w:val="21"/>
              </w:rPr>
              <w:t>3.协助乡（镇）人民政府、街道办事处对辖区居民符合生育登记对象开展资料核查，证件办理。</w:t>
            </w:r>
          </w:p>
          <w:p w14:paraId="2EFBF59B">
            <w:pPr>
              <w:widowControl/>
              <w:adjustRightInd w:val="0"/>
              <w:snapToGrid w:val="0"/>
              <w:jc w:val="left"/>
              <w:textAlignment w:val="center"/>
            </w:pPr>
            <w:r>
              <w:rPr>
                <w:rFonts w:hint="eastAsia" w:ascii="宋体" w:hAnsi="宋体" w:eastAsia="宋体" w:cs="宋体"/>
                <w:kern w:val="0"/>
                <w:sz w:val="21"/>
                <w:szCs w:val="21"/>
              </w:rPr>
              <w:t>4.协助乡（镇）人民政府、街道办事处开展计划生育奖励扶助特别扶助扶助政策宣传、调查摸底、申报受理、组织评议、村级公示、协助年审、开展信息核查，联系帮扶计划生育特殊家庭，协助落实其他奖励优待政策。</w:t>
            </w:r>
          </w:p>
        </w:tc>
        <w:tc>
          <w:tcPr>
            <w:tcW w:w="1404" w:type="dxa"/>
            <w:tcBorders>
              <w:top w:val="single" w:color="auto" w:sz="4" w:space="0"/>
              <w:left w:val="single" w:color="auto" w:sz="4" w:space="0"/>
              <w:bottom w:val="single" w:color="auto" w:sz="4" w:space="0"/>
              <w:right w:val="single" w:color="auto" w:sz="4" w:space="0"/>
            </w:tcBorders>
            <w:vAlign w:val="center"/>
          </w:tcPr>
          <w:p w14:paraId="5F20B573">
            <w:pPr>
              <w:widowControl/>
              <w:spacing w:line="320" w:lineRule="exact"/>
              <w:jc w:val="left"/>
              <w:textAlignment w:val="center"/>
              <w:rPr>
                <w:rStyle w:val="13"/>
                <w:rFonts w:hint="default"/>
                <w:color w:val="auto"/>
                <w:sz w:val="21"/>
                <w:szCs w:val="21"/>
              </w:rPr>
            </w:pPr>
            <w:r>
              <w:rPr>
                <w:rStyle w:val="13"/>
                <w:color w:val="auto"/>
                <w:sz w:val="21"/>
                <w:szCs w:val="21"/>
              </w:rPr>
              <w:t>《重庆市人口与计划生育条例》第十六条、第十八条、第二十条</w:t>
            </w:r>
          </w:p>
        </w:tc>
        <w:tc>
          <w:tcPr>
            <w:tcW w:w="900" w:type="dxa"/>
            <w:tcBorders>
              <w:top w:val="single" w:color="auto" w:sz="4" w:space="0"/>
              <w:left w:val="single" w:color="auto" w:sz="4" w:space="0"/>
              <w:bottom w:val="single" w:color="auto" w:sz="4" w:space="0"/>
              <w:right w:val="single" w:color="auto" w:sz="4" w:space="0"/>
            </w:tcBorders>
            <w:vAlign w:val="center"/>
          </w:tcPr>
          <w:p w14:paraId="4B1116DB">
            <w:pPr>
              <w:spacing w:line="320" w:lineRule="exact"/>
              <w:jc w:val="left"/>
              <w:rPr>
                <w:rFonts w:ascii="宋体" w:hAnsi="宋体" w:eastAsia="宋体" w:cs="宋体"/>
                <w:sz w:val="21"/>
                <w:szCs w:val="21"/>
              </w:rPr>
            </w:pPr>
            <w:r>
              <w:rPr>
                <w:rFonts w:hint="eastAsia" w:ascii="宋体" w:hAnsi="宋体" w:eastAsia="宋体" w:cs="宋体"/>
                <w:sz w:val="21"/>
                <w:szCs w:val="21"/>
              </w:rPr>
              <w:t>卫生健康部门</w:t>
            </w:r>
          </w:p>
        </w:tc>
        <w:tc>
          <w:tcPr>
            <w:tcW w:w="686" w:type="dxa"/>
            <w:tcBorders>
              <w:top w:val="single" w:color="auto" w:sz="4" w:space="0"/>
              <w:left w:val="single" w:color="auto" w:sz="4" w:space="0"/>
              <w:bottom w:val="single" w:color="auto" w:sz="4" w:space="0"/>
              <w:right w:val="single" w:color="auto" w:sz="4" w:space="0"/>
            </w:tcBorders>
            <w:vAlign w:val="center"/>
          </w:tcPr>
          <w:p w14:paraId="6CF0DA05">
            <w:pPr>
              <w:spacing w:line="320" w:lineRule="exact"/>
              <w:rPr>
                <w:rFonts w:ascii="宋体" w:hAnsi="宋体" w:eastAsia="宋体" w:cs="宋体"/>
                <w:sz w:val="21"/>
                <w:szCs w:val="21"/>
              </w:rPr>
            </w:pPr>
          </w:p>
        </w:tc>
      </w:tr>
      <w:tr w14:paraId="3084F64C">
        <w:tblPrEx>
          <w:tblCellMar>
            <w:top w:w="15" w:type="dxa"/>
            <w:left w:w="15" w:type="dxa"/>
            <w:bottom w:w="15" w:type="dxa"/>
            <w:right w:w="15" w:type="dxa"/>
          </w:tblCellMar>
        </w:tblPrEx>
        <w:trPr>
          <w:trHeight w:val="1365" w:hRule="atLeast"/>
          <w:jc w:val="center"/>
        </w:trPr>
        <w:tc>
          <w:tcPr>
            <w:tcW w:w="808" w:type="dxa"/>
            <w:tcBorders>
              <w:top w:val="single" w:color="auto" w:sz="4" w:space="0"/>
              <w:left w:val="single" w:color="auto" w:sz="4" w:space="0"/>
              <w:bottom w:val="single" w:color="auto" w:sz="4" w:space="0"/>
              <w:right w:val="single" w:color="auto" w:sz="4" w:space="0"/>
            </w:tcBorders>
            <w:vAlign w:val="center"/>
          </w:tcPr>
          <w:p w14:paraId="5CAC98B4">
            <w:pPr>
              <w:spacing w:line="320" w:lineRule="exact"/>
              <w:jc w:val="center"/>
              <w:rPr>
                <w:rFonts w:ascii="宋体" w:hAnsi="宋体" w:eastAsia="宋体" w:cs="宋体"/>
                <w:sz w:val="21"/>
                <w:szCs w:val="21"/>
              </w:rPr>
            </w:pPr>
            <w:r>
              <w:rPr>
                <w:rFonts w:hint="eastAsia" w:ascii="宋体" w:hAnsi="宋体" w:eastAsia="宋体" w:cs="宋体"/>
                <w:sz w:val="21"/>
                <w:szCs w:val="21"/>
              </w:rPr>
              <w:t>14</w:t>
            </w:r>
          </w:p>
        </w:tc>
        <w:tc>
          <w:tcPr>
            <w:tcW w:w="1314" w:type="dxa"/>
            <w:tcBorders>
              <w:top w:val="single" w:color="auto" w:sz="4" w:space="0"/>
              <w:left w:val="single" w:color="auto" w:sz="4" w:space="0"/>
              <w:bottom w:val="single" w:color="auto" w:sz="4" w:space="0"/>
              <w:right w:val="single" w:color="auto" w:sz="4" w:space="0"/>
            </w:tcBorders>
            <w:vAlign w:val="center"/>
          </w:tcPr>
          <w:p w14:paraId="491584B0">
            <w:pPr>
              <w:widowControl/>
              <w:spacing w:line="320" w:lineRule="exact"/>
              <w:jc w:val="left"/>
              <w:textAlignment w:val="center"/>
              <w:rPr>
                <w:rFonts w:ascii="宋体" w:hAnsi="宋体" w:eastAsia="宋体" w:cs="宋体"/>
                <w:kern w:val="0"/>
                <w:sz w:val="21"/>
                <w:szCs w:val="21"/>
              </w:rPr>
            </w:pPr>
            <w:r>
              <w:rPr>
                <w:rFonts w:hint="eastAsia" w:ascii="宋体" w:hAnsi="宋体" w:eastAsia="宋体" w:cs="宋体"/>
                <w:kern w:val="0"/>
                <w:sz w:val="21"/>
                <w:szCs w:val="21"/>
              </w:rPr>
              <w:t>协助做好病残儿医学鉴定</w:t>
            </w:r>
          </w:p>
        </w:tc>
        <w:tc>
          <w:tcPr>
            <w:tcW w:w="1802" w:type="dxa"/>
            <w:tcBorders>
              <w:top w:val="single" w:color="auto" w:sz="4" w:space="0"/>
              <w:left w:val="single" w:color="auto" w:sz="4" w:space="0"/>
              <w:bottom w:val="single" w:color="auto" w:sz="4" w:space="0"/>
              <w:right w:val="single" w:color="auto" w:sz="4" w:space="0"/>
            </w:tcBorders>
            <w:vAlign w:val="center"/>
          </w:tcPr>
          <w:p w14:paraId="2826F6B3">
            <w:pPr>
              <w:widowControl/>
              <w:spacing w:line="320" w:lineRule="exact"/>
              <w:jc w:val="left"/>
              <w:textAlignment w:val="center"/>
              <w:rPr>
                <w:rFonts w:ascii="宋体" w:hAnsi="宋体" w:eastAsia="宋体" w:cs="宋体"/>
                <w:kern w:val="0"/>
                <w:sz w:val="21"/>
                <w:szCs w:val="21"/>
              </w:rPr>
            </w:pPr>
            <w:r>
              <w:rPr>
                <w:rFonts w:hint="eastAsia" w:ascii="宋体" w:hAnsi="宋体" w:eastAsia="宋体" w:cs="宋体"/>
                <w:kern w:val="0"/>
                <w:sz w:val="21"/>
                <w:szCs w:val="21"/>
              </w:rPr>
              <w:t>协助做好病残儿医学鉴定初步审核工作。</w:t>
            </w:r>
          </w:p>
        </w:tc>
        <w:tc>
          <w:tcPr>
            <w:tcW w:w="7846" w:type="dxa"/>
            <w:tcBorders>
              <w:top w:val="single" w:color="auto" w:sz="4" w:space="0"/>
              <w:left w:val="single" w:color="auto" w:sz="4" w:space="0"/>
              <w:bottom w:val="single" w:color="auto" w:sz="4" w:space="0"/>
              <w:right w:val="single" w:color="auto" w:sz="4" w:space="0"/>
            </w:tcBorders>
            <w:vAlign w:val="center"/>
          </w:tcPr>
          <w:p w14:paraId="404BBCCA">
            <w:pPr>
              <w:widowControl/>
              <w:spacing w:line="320" w:lineRule="exact"/>
              <w:jc w:val="left"/>
              <w:textAlignment w:val="center"/>
              <w:rPr>
                <w:rFonts w:ascii="宋体" w:hAnsi="宋体" w:eastAsia="宋体" w:cs="宋体"/>
                <w:kern w:val="0"/>
                <w:sz w:val="21"/>
                <w:szCs w:val="21"/>
              </w:rPr>
            </w:pPr>
            <w:r>
              <w:rPr>
                <w:rFonts w:hint="eastAsia" w:ascii="宋体" w:hAnsi="宋体" w:eastAsia="宋体" w:cs="宋体"/>
                <w:kern w:val="0"/>
                <w:sz w:val="21"/>
                <w:szCs w:val="21"/>
              </w:rPr>
              <w:t>1.接受申请人关于病残儿医学鉴定的书面申请和相关资料。</w:t>
            </w:r>
          </w:p>
          <w:p w14:paraId="2DE49C05">
            <w:pPr>
              <w:widowControl/>
              <w:spacing w:line="320" w:lineRule="exact"/>
              <w:jc w:val="left"/>
              <w:textAlignment w:val="center"/>
              <w:rPr>
                <w:rFonts w:ascii="宋体" w:hAnsi="宋体" w:eastAsia="宋体" w:cs="宋体"/>
                <w:kern w:val="0"/>
                <w:sz w:val="21"/>
                <w:szCs w:val="21"/>
              </w:rPr>
            </w:pPr>
            <w:r>
              <w:rPr>
                <w:rFonts w:hint="eastAsia" w:ascii="宋体" w:hAnsi="宋体" w:eastAsia="宋体" w:cs="宋体"/>
                <w:kern w:val="0"/>
                <w:sz w:val="21"/>
                <w:szCs w:val="21"/>
              </w:rPr>
              <w:t>2.对申请病残儿医学鉴定者的情况进行初步审核，出具书面意见，加盖公章，在接到申请材料之日起20个工作日内报女方户籍所在地的乡（镇、街道）计划生育管理部门。</w:t>
            </w:r>
          </w:p>
        </w:tc>
        <w:tc>
          <w:tcPr>
            <w:tcW w:w="1404" w:type="dxa"/>
            <w:tcBorders>
              <w:top w:val="single" w:color="auto" w:sz="4" w:space="0"/>
              <w:left w:val="single" w:color="auto" w:sz="4" w:space="0"/>
              <w:bottom w:val="single" w:color="auto" w:sz="4" w:space="0"/>
              <w:right w:val="single" w:color="auto" w:sz="4" w:space="0"/>
            </w:tcBorders>
            <w:vAlign w:val="center"/>
          </w:tcPr>
          <w:p w14:paraId="40C608F0">
            <w:pPr>
              <w:widowControl/>
              <w:spacing w:line="320" w:lineRule="exact"/>
              <w:jc w:val="left"/>
              <w:textAlignment w:val="center"/>
              <w:rPr>
                <w:rFonts w:ascii="宋体" w:hAnsi="宋体" w:eastAsia="宋体" w:cs="宋体"/>
                <w:kern w:val="0"/>
                <w:sz w:val="21"/>
                <w:szCs w:val="21"/>
              </w:rPr>
            </w:pPr>
            <w:r>
              <w:rPr>
                <w:rFonts w:hint="eastAsia" w:ascii="宋体" w:hAnsi="宋体" w:eastAsia="宋体" w:cs="宋体"/>
                <w:kern w:val="0"/>
                <w:sz w:val="21"/>
                <w:szCs w:val="21"/>
              </w:rPr>
              <w:t>《国家病残儿医学鉴定管理办法》第十一条、第十二条</w:t>
            </w:r>
          </w:p>
        </w:tc>
        <w:tc>
          <w:tcPr>
            <w:tcW w:w="900" w:type="dxa"/>
            <w:tcBorders>
              <w:top w:val="single" w:color="auto" w:sz="4" w:space="0"/>
              <w:left w:val="single" w:color="auto" w:sz="4" w:space="0"/>
              <w:bottom w:val="single" w:color="auto" w:sz="4" w:space="0"/>
              <w:right w:val="single" w:color="auto" w:sz="4" w:space="0"/>
            </w:tcBorders>
            <w:vAlign w:val="center"/>
          </w:tcPr>
          <w:p w14:paraId="7CED2FA2">
            <w:pPr>
              <w:widowControl/>
              <w:spacing w:line="320" w:lineRule="exact"/>
              <w:jc w:val="left"/>
              <w:textAlignment w:val="center"/>
              <w:rPr>
                <w:rFonts w:ascii="宋体" w:hAnsi="宋体" w:eastAsia="宋体" w:cs="宋体"/>
                <w:kern w:val="0"/>
                <w:sz w:val="21"/>
                <w:szCs w:val="21"/>
              </w:rPr>
            </w:pPr>
            <w:r>
              <w:rPr>
                <w:rFonts w:hint="eastAsia" w:ascii="宋体" w:hAnsi="宋体" w:eastAsia="宋体" w:cs="宋体"/>
                <w:kern w:val="0"/>
                <w:sz w:val="21"/>
                <w:szCs w:val="21"/>
              </w:rPr>
              <w:t>卫生健康部门</w:t>
            </w:r>
          </w:p>
        </w:tc>
        <w:tc>
          <w:tcPr>
            <w:tcW w:w="686" w:type="dxa"/>
            <w:tcBorders>
              <w:top w:val="single" w:color="auto" w:sz="4" w:space="0"/>
              <w:left w:val="single" w:color="auto" w:sz="4" w:space="0"/>
              <w:bottom w:val="single" w:color="auto" w:sz="4" w:space="0"/>
              <w:right w:val="single" w:color="auto" w:sz="4" w:space="0"/>
            </w:tcBorders>
            <w:vAlign w:val="center"/>
          </w:tcPr>
          <w:p w14:paraId="1EDF3EE9">
            <w:pPr>
              <w:spacing w:line="320" w:lineRule="exact"/>
              <w:rPr>
                <w:rFonts w:ascii="宋体" w:hAnsi="宋体" w:eastAsia="宋体" w:cs="宋体"/>
                <w:sz w:val="21"/>
                <w:szCs w:val="21"/>
              </w:rPr>
            </w:pPr>
          </w:p>
        </w:tc>
      </w:tr>
      <w:tr w14:paraId="1C28824F">
        <w:tblPrEx>
          <w:tblCellMar>
            <w:top w:w="15" w:type="dxa"/>
            <w:left w:w="15" w:type="dxa"/>
            <w:bottom w:w="15" w:type="dxa"/>
            <w:right w:w="15" w:type="dxa"/>
          </w:tblCellMar>
        </w:tblPrEx>
        <w:trPr>
          <w:trHeight w:val="1531" w:hRule="atLeast"/>
          <w:jc w:val="center"/>
        </w:trPr>
        <w:tc>
          <w:tcPr>
            <w:tcW w:w="808" w:type="dxa"/>
            <w:tcBorders>
              <w:top w:val="single" w:color="auto" w:sz="4" w:space="0"/>
              <w:left w:val="single" w:color="auto" w:sz="4" w:space="0"/>
              <w:bottom w:val="single" w:color="auto" w:sz="4" w:space="0"/>
              <w:right w:val="single" w:color="auto" w:sz="4" w:space="0"/>
            </w:tcBorders>
            <w:vAlign w:val="center"/>
          </w:tcPr>
          <w:p w14:paraId="00B86E77">
            <w:pPr>
              <w:spacing w:line="320" w:lineRule="exact"/>
              <w:jc w:val="center"/>
              <w:rPr>
                <w:rFonts w:ascii="宋体" w:hAnsi="宋体" w:eastAsia="宋体" w:cs="宋体"/>
                <w:sz w:val="21"/>
                <w:szCs w:val="21"/>
              </w:rPr>
            </w:pPr>
            <w:r>
              <w:rPr>
                <w:rFonts w:hint="eastAsia" w:ascii="宋体" w:hAnsi="宋体" w:eastAsia="宋体" w:cs="宋体"/>
                <w:sz w:val="21"/>
                <w:szCs w:val="21"/>
              </w:rPr>
              <w:t>15</w:t>
            </w:r>
          </w:p>
        </w:tc>
        <w:tc>
          <w:tcPr>
            <w:tcW w:w="1314" w:type="dxa"/>
            <w:tcBorders>
              <w:top w:val="single" w:color="auto" w:sz="4" w:space="0"/>
              <w:left w:val="single" w:color="auto" w:sz="4" w:space="0"/>
              <w:bottom w:val="single" w:color="auto" w:sz="4" w:space="0"/>
              <w:right w:val="single" w:color="auto" w:sz="4" w:space="0"/>
            </w:tcBorders>
            <w:vAlign w:val="center"/>
          </w:tcPr>
          <w:p w14:paraId="7421BBA1">
            <w:pPr>
              <w:widowControl/>
              <w:spacing w:line="320" w:lineRule="exact"/>
              <w:textAlignment w:val="center"/>
              <w:rPr>
                <w:rFonts w:ascii="宋体" w:hAnsi="宋体" w:eastAsia="宋体" w:cs="宋体"/>
                <w:sz w:val="21"/>
                <w:szCs w:val="21"/>
              </w:rPr>
            </w:pPr>
            <w:r>
              <w:rPr>
                <w:rFonts w:hint="eastAsia" w:ascii="宋体" w:hAnsi="宋体" w:eastAsia="宋体" w:cs="宋体"/>
                <w:kern w:val="0"/>
                <w:sz w:val="21"/>
                <w:szCs w:val="21"/>
              </w:rPr>
              <w:t>协助开展精神卫生及心理健康服务等工作</w:t>
            </w:r>
          </w:p>
        </w:tc>
        <w:tc>
          <w:tcPr>
            <w:tcW w:w="1802" w:type="dxa"/>
            <w:tcBorders>
              <w:top w:val="single" w:color="auto" w:sz="4" w:space="0"/>
              <w:left w:val="single" w:color="auto" w:sz="4" w:space="0"/>
              <w:bottom w:val="single" w:color="auto" w:sz="4" w:space="0"/>
              <w:right w:val="single" w:color="auto" w:sz="4" w:space="0"/>
            </w:tcBorders>
            <w:vAlign w:val="center"/>
          </w:tcPr>
          <w:p w14:paraId="3C175874">
            <w:pPr>
              <w:widowControl/>
              <w:spacing w:line="320" w:lineRule="exact"/>
              <w:jc w:val="left"/>
              <w:textAlignment w:val="center"/>
              <w:rPr>
                <w:rFonts w:ascii="宋体" w:hAnsi="宋体" w:eastAsia="宋体" w:cs="宋体"/>
                <w:sz w:val="21"/>
                <w:szCs w:val="21"/>
              </w:rPr>
            </w:pPr>
            <w:r>
              <w:rPr>
                <w:rFonts w:hint="eastAsia" w:ascii="宋体" w:hAnsi="宋体" w:eastAsia="宋体" w:cs="宋体"/>
                <w:kern w:val="0"/>
                <w:sz w:val="21"/>
                <w:szCs w:val="21"/>
              </w:rPr>
              <w:t>协助开展社区心理健康指导、精神卫生知识宣传教育活动等精神卫生工作。</w:t>
            </w:r>
          </w:p>
        </w:tc>
        <w:tc>
          <w:tcPr>
            <w:tcW w:w="7846" w:type="dxa"/>
            <w:tcBorders>
              <w:top w:val="single" w:color="auto" w:sz="4" w:space="0"/>
              <w:left w:val="single" w:color="auto" w:sz="4" w:space="0"/>
              <w:bottom w:val="single" w:color="auto" w:sz="4" w:space="0"/>
              <w:right w:val="single" w:color="auto" w:sz="4" w:space="0"/>
            </w:tcBorders>
            <w:vAlign w:val="center"/>
          </w:tcPr>
          <w:p w14:paraId="0E5E9F0A">
            <w:pPr>
              <w:widowControl/>
              <w:spacing w:line="320" w:lineRule="exact"/>
              <w:jc w:val="left"/>
              <w:textAlignment w:val="center"/>
              <w:rPr>
                <w:rFonts w:ascii="宋体" w:hAnsi="宋体" w:eastAsia="宋体" w:cs="宋体"/>
                <w:sz w:val="21"/>
                <w:szCs w:val="21"/>
              </w:rPr>
            </w:pPr>
            <w:r>
              <w:rPr>
                <w:rFonts w:hint="eastAsia" w:ascii="宋体" w:hAnsi="宋体" w:eastAsia="宋体" w:cs="宋体"/>
                <w:sz w:val="21"/>
                <w:szCs w:val="21"/>
              </w:rPr>
              <w:t>1.为社区心理健康指导提供技术支持。</w:t>
            </w:r>
          </w:p>
          <w:p w14:paraId="1F34DCCA">
            <w:pPr>
              <w:widowControl/>
              <w:spacing w:line="320" w:lineRule="exact"/>
              <w:jc w:val="left"/>
              <w:textAlignment w:val="center"/>
              <w:rPr>
                <w:rFonts w:ascii="宋体" w:hAnsi="宋体" w:eastAsia="宋体" w:cs="宋体"/>
                <w:sz w:val="21"/>
                <w:szCs w:val="21"/>
              </w:rPr>
            </w:pPr>
            <w:r>
              <w:rPr>
                <w:rFonts w:hint="eastAsia" w:ascii="宋体" w:hAnsi="宋体" w:eastAsia="宋体" w:cs="宋体"/>
                <w:sz w:val="21"/>
                <w:szCs w:val="21"/>
              </w:rPr>
              <w:t>2.为严重精神障碍患者提供健康教育宣传。</w:t>
            </w:r>
          </w:p>
          <w:p w14:paraId="1001D441">
            <w:pPr>
              <w:pStyle w:val="2"/>
              <w:spacing w:before="0" w:after="0" w:line="320" w:lineRule="exact"/>
              <w:rPr>
                <w:rFonts w:ascii="宋体" w:hAnsi="宋体" w:eastAsia="宋体" w:cs="宋体"/>
                <w:sz w:val="21"/>
                <w:szCs w:val="21"/>
              </w:rPr>
            </w:pPr>
          </w:p>
        </w:tc>
        <w:tc>
          <w:tcPr>
            <w:tcW w:w="1404" w:type="dxa"/>
            <w:tcBorders>
              <w:top w:val="single" w:color="auto" w:sz="4" w:space="0"/>
              <w:left w:val="single" w:color="auto" w:sz="4" w:space="0"/>
              <w:bottom w:val="single" w:color="auto" w:sz="4" w:space="0"/>
              <w:right w:val="single" w:color="auto" w:sz="4" w:space="0"/>
            </w:tcBorders>
            <w:vAlign w:val="center"/>
          </w:tcPr>
          <w:p w14:paraId="2F88F0AD">
            <w:pPr>
              <w:widowControl/>
              <w:spacing w:line="320" w:lineRule="exact"/>
              <w:jc w:val="left"/>
              <w:textAlignment w:val="center"/>
              <w:rPr>
                <w:rFonts w:ascii="宋体" w:hAnsi="宋体" w:eastAsia="宋体" w:cs="宋体"/>
                <w:kern w:val="0"/>
                <w:sz w:val="21"/>
                <w:szCs w:val="21"/>
              </w:rPr>
            </w:pPr>
            <w:r>
              <w:rPr>
                <w:rFonts w:hint="eastAsia" w:ascii="宋体" w:hAnsi="宋体" w:eastAsia="宋体" w:cs="宋体"/>
                <w:kern w:val="0"/>
                <w:sz w:val="21"/>
                <w:szCs w:val="21"/>
              </w:rPr>
              <w:t>《中华人民共和国精神卫生法》第十条、第二十条</w:t>
            </w:r>
          </w:p>
        </w:tc>
        <w:tc>
          <w:tcPr>
            <w:tcW w:w="900" w:type="dxa"/>
            <w:tcBorders>
              <w:top w:val="single" w:color="auto" w:sz="4" w:space="0"/>
              <w:left w:val="single" w:color="auto" w:sz="4" w:space="0"/>
              <w:bottom w:val="single" w:color="auto" w:sz="4" w:space="0"/>
              <w:right w:val="single" w:color="auto" w:sz="4" w:space="0"/>
            </w:tcBorders>
            <w:vAlign w:val="center"/>
          </w:tcPr>
          <w:p w14:paraId="40D62995">
            <w:pPr>
              <w:widowControl/>
              <w:spacing w:line="320" w:lineRule="exact"/>
              <w:jc w:val="left"/>
              <w:textAlignment w:val="center"/>
              <w:rPr>
                <w:rFonts w:ascii="宋体" w:hAnsi="宋体" w:eastAsia="宋体" w:cs="宋体"/>
                <w:kern w:val="0"/>
                <w:sz w:val="21"/>
                <w:szCs w:val="21"/>
              </w:rPr>
            </w:pPr>
            <w:r>
              <w:rPr>
                <w:rFonts w:hint="eastAsia" w:ascii="宋体" w:hAnsi="宋体" w:eastAsia="宋体" w:cs="宋体"/>
                <w:sz w:val="21"/>
                <w:szCs w:val="21"/>
              </w:rPr>
              <w:t>卫生健康部门</w:t>
            </w:r>
          </w:p>
        </w:tc>
        <w:tc>
          <w:tcPr>
            <w:tcW w:w="686" w:type="dxa"/>
            <w:tcBorders>
              <w:top w:val="single" w:color="auto" w:sz="4" w:space="0"/>
              <w:left w:val="single" w:color="auto" w:sz="4" w:space="0"/>
              <w:bottom w:val="single" w:color="auto" w:sz="4" w:space="0"/>
              <w:right w:val="single" w:color="auto" w:sz="4" w:space="0"/>
            </w:tcBorders>
            <w:vAlign w:val="center"/>
          </w:tcPr>
          <w:p w14:paraId="4BFDCA02">
            <w:pPr>
              <w:spacing w:line="320" w:lineRule="exact"/>
              <w:rPr>
                <w:rFonts w:ascii="宋体" w:hAnsi="宋体" w:eastAsia="宋体" w:cs="宋体"/>
                <w:sz w:val="21"/>
                <w:szCs w:val="21"/>
              </w:rPr>
            </w:pPr>
          </w:p>
        </w:tc>
      </w:tr>
      <w:tr w14:paraId="181DD9DE">
        <w:tblPrEx>
          <w:tblCellMar>
            <w:top w:w="15" w:type="dxa"/>
            <w:left w:w="15" w:type="dxa"/>
            <w:bottom w:w="15" w:type="dxa"/>
            <w:right w:w="15" w:type="dxa"/>
          </w:tblCellMar>
        </w:tblPrEx>
        <w:trPr>
          <w:trHeight w:val="1865" w:hRule="atLeast"/>
          <w:jc w:val="center"/>
        </w:trPr>
        <w:tc>
          <w:tcPr>
            <w:tcW w:w="808" w:type="dxa"/>
            <w:tcBorders>
              <w:top w:val="single" w:color="auto" w:sz="4" w:space="0"/>
              <w:left w:val="single" w:color="auto" w:sz="4" w:space="0"/>
              <w:bottom w:val="single" w:color="auto" w:sz="4" w:space="0"/>
              <w:right w:val="single" w:color="auto" w:sz="4" w:space="0"/>
            </w:tcBorders>
            <w:vAlign w:val="center"/>
          </w:tcPr>
          <w:p w14:paraId="00AB1550">
            <w:pPr>
              <w:spacing w:line="320" w:lineRule="exact"/>
              <w:jc w:val="center"/>
              <w:rPr>
                <w:rFonts w:ascii="宋体" w:hAnsi="宋体" w:eastAsia="宋体" w:cs="宋体"/>
                <w:sz w:val="21"/>
                <w:szCs w:val="21"/>
              </w:rPr>
            </w:pPr>
            <w:r>
              <w:rPr>
                <w:rFonts w:hint="eastAsia" w:ascii="宋体" w:hAnsi="宋体" w:eastAsia="宋体" w:cs="宋体"/>
                <w:sz w:val="21"/>
                <w:szCs w:val="21"/>
              </w:rPr>
              <w:t>16</w:t>
            </w:r>
          </w:p>
        </w:tc>
        <w:tc>
          <w:tcPr>
            <w:tcW w:w="1314" w:type="dxa"/>
            <w:tcBorders>
              <w:top w:val="single" w:color="auto" w:sz="4" w:space="0"/>
              <w:left w:val="single" w:color="auto" w:sz="4" w:space="0"/>
              <w:bottom w:val="single" w:color="auto" w:sz="4" w:space="0"/>
              <w:right w:val="single" w:color="auto" w:sz="4" w:space="0"/>
            </w:tcBorders>
            <w:vAlign w:val="center"/>
          </w:tcPr>
          <w:p w14:paraId="2FAEB685">
            <w:pPr>
              <w:widowControl/>
              <w:spacing w:line="320" w:lineRule="exact"/>
              <w:textAlignment w:val="center"/>
              <w:rPr>
                <w:rFonts w:ascii="宋体" w:hAnsi="宋体" w:eastAsia="宋体" w:cs="宋体"/>
                <w:sz w:val="21"/>
                <w:szCs w:val="21"/>
              </w:rPr>
            </w:pPr>
            <w:r>
              <w:rPr>
                <w:rFonts w:hint="eastAsia" w:ascii="宋体" w:hAnsi="宋体" w:eastAsia="宋体" w:cs="宋体"/>
                <w:kern w:val="0"/>
                <w:sz w:val="21"/>
                <w:szCs w:val="21"/>
              </w:rPr>
              <w:t>协助开展传染病应急处理工作</w:t>
            </w:r>
          </w:p>
        </w:tc>
        <w:tc>
          <w:tcPr>
            <w:tcW w:w="1802" w:type="dxa"/>
            <w:tcBorders>
              <w:top w:val="single" w:color="auto" w:sz="4" w:space="0"/>
              <w:left w:val="single" w:color="auto" w:sz="4" w:space="0"/>
              <w:bottom w:val="single" w:color="auto" w:sz="4" w:space="0"/>
              <w:right w:val="single" w:color="auto" w:sz="4" w:space="0"/>
            </w:tcBorders>
            <w:vAlign w:val="center"/>
          </w:tcPr>
          <w:p w14:paraId="260A75D0">
            <w:pPr>
              <w:widowControl/>
              <w:spacing w:line="320" w:lineRule="exact"/>
              <w:jc w:val="left"/>
              <w:textAlignment w:val="center"/>
              <w:rPr>
                <w:rFonts w:ascii="宋体" w:hAnsi="宋体" w:eastAsia="宋体" w:cs="宋体"/>
                <w:sz w:val="21"/>
                <w:szCs w:val="21"/>
              </w:rPr>
            </w:pPr>
            <w:r>
              <w:rPr>
                <w:rFonts w:hint="eastAsia" w:ascii="宋体" w:hAnsi="宋体" w:eastAsia="宋体" w:cs="宋体"/>
                <w:kern w:val="0"/>
                <w:sz w:val="21"/>
                <w:szCs w:val="21"/>
              </w:rPr>
              <w:t>协助做好疫情信息的收集和报告、人员的分散隔离、公共卫生措施的落实工作，向居民、村民宣传传染病防治的相关知识。</w:t>
            </w:r>
          </w:p>
        </w:tc>
        <w:tc>
          <w:tcPr>
            <w:tcW w:w="7846" w:type="dxa"/>
            <w:tcBorders>
              <w:top w:val="single" w:color="auto" w:sz="4" w:space="0"/>
              <w:left w:val="single" w:color="auto" w:sz="4" w:space="0"/>
              <w:bottom w:val="single" w:color="auto" w:sz="4" w:space="0"/>
              <w:right w:val="single" w:color="auto" w:sz="4" w:space="0"/>
            </w:tcBorders>
            <w:vAlign w:val="center"/>
          </w:tcPr>
          <w:p w14:paraId="4EAF6CFE">
            <w:pPr>
              <w:widowControl/>
              <w:spacing w:line="320" w:lineRule="exact"/>
              <w:jc w:val="left"/>
              <w:textAlignment w:val="center"/>
              <w:rPr>
                <w:rFonts w:ascii="宋体" w:hAnsi="宋体" w:eastAsia="宋体" w:cs="宋体"/>
                <w:kern w:val="0"/>
                <w:sz w:val="21"/>
                <w:szCs w:val="21"/>
              </w:rPr>
            </w:pPr>
            <w:r>
              <w:rPr>
                <w:rFonts w:hint="eastAsia" w:ascii="宋体" w:hAnsi="宋体" w:eastAsia="宋体" w:cs="宋体"/>
                <w:kern w:val="0"/>
                <w:sz w:val="21"/>
                <w:szCs w:val="21"/>
              </w:rPr>
              <w:t>1.配合相关部门向居民、村民宣传传染病防治的相关知识。</w:t>
            </w:r>
          </w:p>
          <w:p w14:paraId="18F695CA">
            <w:pPr>
              <w:widowControl/>
              <w:spacing w:line="320" w:lineRule="exact"/>
              <w:jc w:val="left"/>
              <w:textAlignment w:val="center"/>
              <w:rPr>
                <w:rFonts w:ascii="宋体" w:hAnsi="宋体" w:eastAsia="宋体" w:cs="宋体"/>
                <w:kern w:val="0"/>
                <w:sz w:val="21"/>
                <w:szCs w:val="21"/>
              </w:rPr>
            </w:pPr>
            <w:r>
              <w:rPr>
                <w:rFonts w:hint="eastAsia" w:ascii="宋体" w:hAnsi="宋体" w:eastAsia="宋体" w:cs="宋体"/>
                <w:kern w:val="0"/>
                <w:sz w:val="21"/>
                <w:szCs w:val="21"/>
              </w:rPr>
              <w:t>2.协助做好疫情信息的收集和报告、人员的分散隔离、公共卫生措施的落实工作。</w:t>
            </w:r>
          </w:p>
        </w:tc>
        <w:tc>
          <w:tcPr>
            <w:tcW w:w="1404" w:type="dxa"/>
            <w:tcBorders>
              <w:top w:val="single" w:color="auto" w:sz="4" w:space="0"/>
              <w:left w:val="single" w:color="auto" w:sz="4" w:space="0"/>
              <w:bottom w:val="single" w:color="auto" w:sz="4" w:space="0"/>
              <w:right w:val="single" w:color="auto" w:sz="4" w:space="0"/>
            </w:tcBorders>
            <w:vAlign w:val="center"/>
          </w:tcPr>
          <w:p w14:paraId="493487DD">
            <w:pPr>
              <w:widowControl/>
              <w:spacing w:line="320" w:lineRule="exact"/>
              <w:jc w:val="left"/>
              <w:textAlignment w:val="center"/>
              <w:rPr>
                <w:rFonts w:ascii="宋体" w:hAnsi="宋体" w:eastAsia="宋体" w:cs="宋体"/>
                <w:kern w:val="0"/>
                <w:sz w:val="21"/>
                <w:szCs w:val="21"/>
              </w:rPr>
            </w:pPr>
            <w:r>
              <w:rPr>
                <w:rFonts w:hint="eastAsia" w:ascii="宋体" w:hAnsi="宋体" w:eastAsia="宋体" w:cs="宋体"/>
                <w:kern w:val="0"/>
                <w:sz w:val="21"/>
                <w:szCs w:val="21"/>
              </w:rPr>
              <w:t>《突发公共卫生</w:t>
            </w:r>
            <w:r>
              <w:rPr>
                <w:rFonts w:hint="eastAsia" w:ascii="宋体" w:hAnsi="宋体" w:eastAsia="宋体" w:cs="宋体"/>
                <w:kern w:val="0"/>
                <w:sz w:val="21"/>
                <w:szCs w:val="21"/>
                <w:lang w:val="en-US" w:eastAsia="zh-CN"/>
              </w:rPr>
              <w:t>事件</w:t>
            </w:r>
            <w:bookmarkStart w:id="0" w:name="_GoBack"/>
            <w:bookmarkEnd w:id="0"/>
            <w:r>
              <w:rPr>
                <w:rFonts w:hint="eastAsia" w:ascii="宋体" w:hAnsi="宋体" w:eastAsia="宋体" w:cs="宋体"/>
                <w:kern w:val="0"/>
                <w:sz w:val="21"/>
                <w:szCs w:val="21"/>
              </w:rPr>
              <w:t>应急条例》第四十条</w:t>
            </w:r>
          </w:p>
          <w:p w14:paraId="0B785FE8">
            <w:pPr>
              <w:widowControl/>
              <w:spacing w:line="320" w:lineRule="exact"/>
              <w:jc w:val="left"/>
              <w:textAlignment w:val="center"/>
            </w:pPr>
            <w:r>
              <w:rPr>
                <w:rFonts w:hint="eastAsia" w:ascii="宋体" w:hAnsi="宋体" w:eastAsia="宋体" w:cs="宋体"/>
                <w:kern w:val="0"/>
                <w:sz w:val="21"/>
                <w:szCs w:val="21"/>
              </w:rPr>
              <w:t>《传染病防治法》第九条</w:t>
            </w:r>
          </w:p>
        </w:tc>
        <w:tc>
          <w:tcPr>
            <w:tcW w:w="900" w:type="dxa"/>
            <w:tcBorders>
              <w:top w:val="single" w:color="auto" w:sz="4" w:space="0"/>
              <w:left w:val="single" w:color="auto" w:sz="4" w:space="0"/>
              <w:bottom w:val="single" w:color="auto" w:sz="4" w:space="0"/>
              <w:right w:val="single" w:color="auto" w:sz="4" w:space="0"/>
            </w:tcBorders>
            <w:vAlign w:val="center"/>
          </w:tcPr>
          <w:p w14:paraId="2EBD11DE">
            <w:pPr>
              <w:widowControl/>
              <w:spacing w:line="320" w:lineRule="exact"/>
              <w:jc w:val="left"/>
              <w:textAlignment w:val="center"/>
              <w:rPr>
                <w:rFonts w:ascii="宋体" w:hAnsi="宋体" w:eastAsia="宋体" w:cs="宋体"/>
                <w:kern w:val="0"/>
                <w:sz w:val="21"/>
                <w:szCs w:val="21"/>
              </w:rPr>
            </w:pPr>
            <w:r>
              <w:rPr>
                <w:rFonts w:hint="eastAsia" w:ascii="宋体" w:hAnsi="宋体" w:eastAsia="宋体" w:cs="宋体"/>
                <w:sz w:val="21"/>
                <w:szCs w:val="21"/>
              </w:rPr>
              <w:t>卫生健康部门</w:t>
            </w:r>
          </w:p>
        </w:tc>
        <w:tc>
          <w:tcPr>
            <w:tcW w:w="686" w:type="dxa"/>
            <w:tcBorders>
              <w:top w:val="single" w:color="auto" w:sz="4" w:space="0"/>
              <w:left w:val="single" w:color="auto" w:sz="4" w:space="0"/>
              <w:bottom w:val="single" w:color="auto" w:sz="4" w:space="0"/>
              <w:right w:val="single" w:color="auto" w:sz="4" w:space="0"/>
            </w:tcBorders>
            <w:vAlign w:val="center"/>
          </w:tcPr>
          <w:p w14:paraId="4E21988F">
            <w:pPr>
              <w:spacing w:line="320" w:lineRule="exact"/>
              <w:rPr>
                <w:rFonts w:ascii="宋体" w:hAnsi="宋体" w:eastAsia="宋体" w:cs="宋体"/>
                <w:sz w:val="21"/>
                <w:szCs w:val="21"/>
              </w:rPr>
            </w:pPr>
          </w:p>
        </w:tc>
      </w:tr>
      <w:tr w14:paraId="75181FDA">
        <w:tblPrEx>
          <w:tblCellMar>
            <w:top w:w="15" w:type="dxa"/>
            <w:left w:w="15" w:type="dxa"/>
            <w:bottom w:w="15" w:type="dxa"/>
            <w:right w:w="15" w:type="dxa"/>
          </w:tblCellMar>
        </w:tblPrEx>
        <w:trPr>
          <w:trHeight w:val="90" w:hRule="atLeast"/>
          <w:jc w:val="center"/>
        </w:trPr>
        <w:tc>
          <w:tcPr>
            <w:tcW w:w="808" w:type="dxa"/>
            <w:tcBorders>
              <w:top w:val="single" w:color="auto" w:sz="4" w:space="0"/>
              <w:left w:val="single" w:color="auto" w:sz="4" w:space="0"/>
              <w:bottom w:val="single" w:color="auto" w:sz="4" w:space="0"/>
              <w:right w:val="single" w:color="auto" w:sz="4" w:space="0"/>
            </w:tcBorders>
            <w:vAlign w:val="center"/>
          </w:tcPr>
          <w:p w14:paraId="0011EC6E">
            <w:pPr>
              <w:spacing w:line="320" w:lineRule="exact"/>
              <w:jc w:val="center"/>
              <w:rPr>
                <w:rFonts w:ascii="宋体" w:hAnsi="宋体" w:eastAsia="宋体" w:cs="宋体"/>
                <w:sz w:val="21"/>
                <w:szCs w:val="21"/>
              </w:rPr>
            </w:pPr>
            <w:r>
              <w:rPr>
                <w:rFonts w:hint="eastAsia" w:ascii="宋体" w:hAnsi="宋体" w:eastAsia="宋体" w:cs="宋体"/>
                <w:kern w:val="0"/>
                <w:sz w:val="21"/>
                <w:szCs w:val="21"/>
              </w:rPr>
              <w:t>17</w:t>
            </w:r>
          </w:p>
        </w:tc>
        <w:tc>
          <w:tcPr>
            <w:tcW w:w="1314" w:type="dxa"/>
            <w:tcBorders>
              <w:top w:val="single" w:color="auto" w:sz="4" w:space="0"/>
              <w:left w:val="single" w:color="auto" w:sz="4" w:space="0"/>
              <w:bottom w:val="single" w:color="auto" w:sz="4" w:space="0"/>
              <w:right w:val="single" w:color="auto" w:sz="4" w:space="0"/>
            </w:tcBorders>
            <w:vAlign w:val="center"/>
          </w:tcPr>
          <w:p w14:paraId="30858420">
            <w:pPr>
              <w:widowControl/>
              <w:spacing w:line="320" w:lineRule="exact"/>
              <w:textAlignment w:val="center"/>
              <w:rPr>
                <w:rFonts w:ascii="宋体" w:hAnsi="宋体" w:eastAsia="宋体" w:cs="宋体"/>
                <w:sz w:val="21"/>
                <w:szCs w:val="21"/>
              </w:rPr>
            </w:pPr>
            <w:r>
              <w:rPr>
                <w:rFonts w:hint="eastAsia" w:ascii="宋体" w:hAnsi="宋体" w:eastAsia="宋体" w:cs="宋体"/>
                <w:kern w:val="0"/>
                <w:sz w:val="21"/>
                <w:szCs w:val="21"/>
              </w:rPr>
              <w:t>协助开展预防接种工作</w:t>
            </w:r>
          </w:p>
        </w:tc>
        <w:tc>
          <w:tcPr>
            <w:tcW w:w="1802" w:type="dxa"/>
            <w:tcBorders>
              <w:top w:val="single" w:color="auto" w:sz="4" w:space="0"/>
              <w:left w:val="single" w:color="auto" w:sz="4" w:space="0"/>
              <w:bottom w:val="single" w:color="auto" w:sz="4" w:space="0"/>
              <w:right w:val="single" w:color="auto" w:sz="4" w:space="0"/>
            </w:tcBorders>
            <w:vAlign w:val="center"/>
          </w:tcPr>
          <w:p w14:paraId="3FB8CD3B">
            <w:pPr>
              <w:widowControl/>
              <w:spacing w:line="320" w:lineRule="exact"/>
              <w:jc w:val="left"/>
              <w:textAlignment w:val="center"/>
              <w:rPr>
                <w:rFonts w:ascii="宋体" w:hAnsi="宋体" w:eastAsia="宋体" w:cs="宋体"/>
                <w:sz w:val="21"/>
                <w:szCs w:val="21"/>
              </w:rPr>
            </w:pPr>
            <w:r>
              <w:rPr>
                <w:rFonts w:hint="eastAsia" w:ascii="宋体" w:hAnsi="宋体" w:eastAsia="宋体" w:cs="宋体"/>
                <w:kern w:val="0"/>
                <w:sz w:val="21"/>
                <w:szCs w:val="21"/>
              </w:rPr>
              <w:t>协助开展与预防接种有关的宣传、教育工作，协助组织村（居）民受种第一类疫苗。</w:t>
            </w:r>
          </w:p>
        </w:tc>
        <w:tc>
          <w:tcPr>
            <w:tcW w:w="7846" w:type="dxa"/>
            <w:tcBorders>
              <w:top w:val="single" w:color="auto" w:sz="4" w:space="0"/>
              <w:left w:val="single" w:color="auto" w:sz="4" w:space="0"/>
              <w:bottom w:val="single" w:color="auto" w:sz="4" w:space="0"/>
              <w:right w:val="single" w:color="auto" w:sz="4" w:space="0"/>
            </w:tcBorders>
            <w:vAlign w:val="center"/>
          </w:tcPr>
          <w:p w14:paraId="703F6E50">
            <w:pPr>
              <w:widowControl/>
              <w:spacing w:line="320" w:lineRule="exact"/>
              <w:jc w:val="left"/>
              <w:textAlignment w:val="center"/>
              <w:rPr>
                <w:rFonts w:ascii="宋体" w:hAnsi="宋体" w:eastAsia="宋体" w:cs="宋体"/>
                <w:kern w:val="0"/>
                <w:sz w:val="21"/>
                <w:szCs w:val="21"/>
              </w:rPr>
            </w:pPr>
            <w:r>
              <w:rPr>
                <w:rFonts w:hint="eastAsia" w:ascii="宋体" w:hAnsi="宋体" w:eastAsia="宋体" w:cs="宋体"/>
                <w:kern w:val="0"/>
                <w:sz w:val="21"/>
                <w:szCs w:val="21"/>
              </w:rPr>
              <w:t>定期开展疫苗安全法律、法规以及预防接种知识等的宣传教育、普及工作。</w:t>
            </w:r>
          </w:p>
        </w:tc>
        <w:tc>
          <w:tcPr>
            <w:tcW w:w="1404" w:type="dxa"/>
            <w:tcBorders>
              <w:top w:val="single" w:color="auto" w:sz="4" w:space="0"/>
              <w:left w:val="single" w:color="auto" w:sz="4" w:space="0"/>
              <w:bottom w:val="single" w:color="auto" w:sz="4" w:space="0"/>
              <w:right w:val="single" w:color="auto" w:sz="4" w:space="0"/>
            </w:tcBorders>
            <w:vAlign w:val="center"/>
          </w:tcPr>
          <w:p w14:paraId="2EF203B1">
            <w:pPr>
              <w:widowControl/>
              <w:spacing w:line="320" w:lineRule="exact"/>
              <w:jc w:val="left"/>
              <w:textAlignment w:val="center"/>
              <w:rPr>
                <w:rFonts w:ascii="宋体" w:hAnsi="宋体" w:eastAsia="宋体" w:cs="宋体"/>
                <w:sz w:val="21"/>
                <w:szCs w:val="21"/>
              </w:rPr>
            </w:pPr>
            <w:r>
              <w:rPr>
                <w:rFonts w:hint="eastAsia" w:ascii="宋体" w:hAnsi="宋体" w:eastAsia="宋体" w:cs="宋体"/>
                <w:sz w:val="21"/>
                <w:szCs w:val="21"/>
              </w:rPr>
              <w:t>《疫苗流通和预防接种管理条例》第九条</w:t>
            </w:r>
          </w:p>
          <w:p w14:paraId="7627EB3E">
            <w:pPr>
              <w:widowControl/>
              <w:spacing w:line="320" w:lineRule="exact"/>
              <w:jc w:val="left"/>
              <w:textAlignment w:val="center"/>
              <w:rPr>
                <w:rFonts w:ascii="宋体" w:hAnsi="宋体" w:eastAsia="宋体" w:cs="宋体"/>
                <w:kern w:val="0"/>
                <w:sz w:val="21"/>
                <w:szCs w:val="21"/>
              </w:rPr>
            </w:pPr>
            <w:r>
              <w:rPr>
                <w:rFonts w:hint="eastAsia" w:ascii="宋体" w:hAnsi="宋体" w:eastAsia="宋体" w:cs="宋体"/>
                <w:sz w:val="21"/>
                <w:szCs w:val="21"/>
              </w:rPr>
              <w:t>《中华人民共和国疫苗管理法》第十二条</w:t>
            </w:r>
          </w:p>
        </w:tc>
        <w:tc>
          <w:tcPr>
            <w:tcW w:w="900" w:type="dxa"/>
            <w:tcBorders>
              <w:top w:val="single" w:color="auto" w:sz="4" w:space="0"/>
              <w:left w:val="single" w:color="auto" w:sz="4" w:space="0"/>
              <w:bottom w:val="single" w:color="auto" w:sz="4" w:space="0"/>
              <w:right w:val="single" w:color="auto" w:sz="4" w:space="0"/>
            </w:tcBorders>
            <w:vAlign w:val="center"/>
          </w:tcPr>
          <w:p w14:paraId="041C0FE2">
            <w:pPr>
              <w:widowControl/>
              <w:spacing w:line="320" w:lineRule="exact"/>
              <w:jc w:val="left"/>
              <w:textAlignment w:val="center"/>
              <w:rPr>
                <w:rFonts w:ascii="宋体" w:hAnsi="宋体" w:eastAsia="宋体" w:cs="宋体"/>
                <w:kern w:val="0"/>
                <w:sz w:val="21"/>
                <w:szCs w:val="21"/>
              </w:rPr>
            </w:pPr>
            <w:r>
              <w:rPr>
                <w:rFonts w:hint="eastAsia" w:ascii="宋体" w:hAnsi="宋体" w:eastAsia="宋体" w:cs="宋体"/>
                <w:sz w:val="21"/>
                <w:szCs w:val="21"/>
              </w:rPr>
              <w:t>卫生健康部门</w:t>
            </w:r>
          </w:p>
        </w:tc>
        <w:tc>
          <w:tcPr>
            <w:tcW w:w="686" w:type="dxa"/>
            <w:tcBorders>
              <w:top w:val="single" w:color="auto" w:sz="4" w:space="0"/>
              <w:left w:val="single" w:color="auto" w:sz="4" w:space="0"/>
              <w:bottom w:val="single" w:color="auto" w:sz="4" w:space="0"/>
              <w:right w:val="single" w:color="auto" w:sz="4" w:space="0"/>
            </w:tcBorders>
            <w:vAlign w:val="center"/>
          </w:tcPr>
          <w:p w14:paraId="191D03DB">
            <w:pPr>
              <w:spacing w:line="320" w:lineRule="exact"/>
              <w:rPr>
                <w:rFonts w:ascii="宋体" w:hAnsi="宋体" w:eastAsia="宋体" w:cs="宋体"/>
                <w:sz w:val="21"/>
                <w:szCs w:val="21"/>
              </w:rPr>
            </w:pPr>
          </w:p>
        </w:tc>
      </w:tr>
      <w:tr w14:paraId="69FC534C">
        <w:tblPrEx>
          <w:tblCellMar>
            <w:top w:w="15" w:type="dxa"/>
            <w:left w:w="15" w:type="dxa"/>
            <w:bottom w:w="15" w:type="dxa"/>
            <w:right w:w="15" w:type="dxa"/>
          </w:tblCellMar>
        </w:tblPrEx>
        <w:trPr>
          <w:trHeight w:val="1388" w:hRule="atLeast"/>
          <w:jc w:val="center"/>
        </w:trPr>
        <w:tc>
          <w:tcPr>
            <w:tcW w:w="808" w:type="dxa"/>
            <w:tcBorders>
              <w:top w:val="single" w:color="auto" w:sz="4" w:space="0"/>
              <w:left w:val="single" w:color="auto" w:sz="4" w:space="0"/>
              <w:bottom w:val="single" w:color="auto" w:sz="4" w:space="0"/>
              <w:right w:val="single" w:color="auto" w:sz="4" w:space="0"/>
            </w:tcBorders>
            <w:vAlign w:val="center"/>
          </w:tcPr>
          <w:p w14:paraId="45A94A01">
            <w:pPr>
              <w:spacing w:line="320" w:lineRule="exact"/>
              <w:jc w:val="center"/>
              <w:rPr>
                <w:rFonts w:ascii="宋体" w:hAnsi="宋体" w:eastAsia="宋体" w:cs="宋体"/>
                <w:sz w:val="21"/>
                <w:szCs w:val="21"/>
              </w:rPr>
            </w:pPr>
            <w:r>
              <w:rPr>
                <w:rFonts w:hint="eastAsia" w:ascii="宋体" w:hAnsi="宋体" w:eastAsia="宋体" w:cs="宋体"/>
                <w:sz w:val="21"/>
                <w:szCs w:val="21"/>
              </w:rPr>
              <w:t>18</w:t>
            </w:r>
          </w:p>
        </w:tc>
        <w:tc>
          <w:tcPr>
            <w:tcW w:w="1314" w:type="dxa"/>
            <w:tcBorders>
              <w:top w:val="single" w:color="auto" w:sz="4" w:space="0"/>
              <w:left w:val="single" w:color="auto" w:sz="4" w:space="0"/>
              <w:bottom w:val="single" w:color="auto" w:sz="4" w:space="0"/>
              <w:right w:val="single" w:color="auto" w:sz="4" w:space="0"/>
            </w:tcBorders>
            <w:vAlign w:val="center"/>
          </w:tcPr>
          <w:p w14:paraId="388064EB">
            <w:pPr>
              <w:widowControl/>
              <w:spacing w:line="320" w:lineRule="exact"/>
              <w:textAlignment w:val="center"/>
              <w:rPr>
                <w:rFonts w:ascii="宋体" w:hAnsi="宋体" w:eastAsia="宋体" w:cs="宋体"/>
                <w:sz w:val="21"/>
                <w:szCs w:val="21"/>
              </w:rPr>
            </w:pPr>
            <w:r>
              <w:rPr>
                <w:rFonts w:hint="eastAsia" w:ascii="宋体" w:hAnsi="宋体" w:eastAsia="宋体" w:cs="宋体"/>
                <w:kern w:val="0"/>
                <w:sz w:val="21"/>
                <w:szCs w:val="21"/>
              </w:rPr>
              <w:t>协助做好气象防灾减灾</w:t>
            </w:r>
          </w:p>
        </w:tc>
        <w:tc>
          <w:tcPr>
            <w:tcW w:w="1802" w:type="dxa"/>
            <w:tcBorders>
              <w:top w:val="single" w:color="auto" w:sz="4" w:space="0"/>
              <w:left w:val="single" w:color="auto" w:sz="4" w:space="0"/>
              <w:bottom w:val="single" w:color="auto" w:sz="4" w:space="0"/>
              <w:right w:val="single" w:color="auto" w:sz="4" w:space="0"/>
            </w:tcBorders>
            <w:vAlign w:val="center"/>
          </w:tcPr>
          <w:p w14:paraId="70D97C91">
            <w:pPr>
              <w:widowControl/>
              <w:spacing w:line="320" w:lineRule="exact"/>
              <w:jc w:val="left"/>
              <w:textAlignment w:val="center"/>
              <w:rPr>
                <w:rFonts w:ascii="宋体" w:hAnsi="宋体" w:eastAsia="宋体" w:cs="宋体"/>
                <w:sz w:val="21"/>
                <w:szCs w:val="21"/>
              </w:rPr>
            </w:pPr>
            <w:r>
              <w:rPr>
                <w:rFonts w:hint="eastAsia" w:ascii="宋体" w:hAnsi="宋体" w:eastAsia="宋体" w:cs="宋体"/>
                <w:kern w:val="0"/>
                <w:sz w:val="21"/>
                <w:szCs w:val="21"/>
              </w:rPr>
              <w:t>协助做好气象防灾避险知识宣传、灾害隐患排查、灾害预警信息传播、灾情统计上报等工作。</w:t>
            </w:r>
          </w:p>
        </w:tc>
        <w:tc>
          <w:tcPr>
            <w:tcW w:w="7846" w:type="dxa"/>
            <w:tcBorders>
              <w:top w:val="single" w:color="auto" w:sz="4" w:space="0"/>
              <w:left w:val="single" w:color="auto" w:sz="4" w:space="0"/>
              <w:bottom w:val="single" w:color="auto" w:sz="4" w:space="0"/>
              <w:right w:val="single" w:color="auto" w:sz="4" w:space="0"/>
            </w:tcBorders>
            <w:vAlign w:val="center"/>
          </w:tcPr>
          <w:p w14:paraId="4A568849">
            <w:pPr>
              <w:widowControl/>
              <w:spacing w:line="300" w:lineRule="exact"/>
              <w:jc w:val="left"/>
              <w:textAlignment w:val="center"/>
              <w:rPr>
                <w:rFonts w:ascii="宋体" w:hAnsi="宋体" w:eastAsia="宋体" w:cs="宋体"/>
                <w:kern w:val="0"/>
                <w:sz w:val="21"/>
                <w:szCs w:val="21"/>
              </w:rPr>
            </w:pPr>
            <w:r>
              <w:rPr>
                <w:rFonts w:hint="eastAsia" w:ascii="宋体" w:hAnsi="宋体" w:eastAsia="宋体" w:cs="宋体"/>
                <w:kern w:val="0"/>
                <w:sz w:val="21"/>
                <w:szCs w:val="21"/>
              </w:rPr>
              <w:t>1.协助做好气象防灾避险知识宣传工作。协助气象主管机构、乡（镇）人民政府（街道办事处）做好辖区居民气象防灾减灾救灾知识科普宣传。</w:t>
            </w:r>
          </w:p>
          <w:p w14:paraId="7480EEFF">
            <w:pPr>
              <w:widowControl/>
              <w:spacing w:line="300" w:lineRule="exact"/>
              <w:jc w:val="left"/>
              <w:textAlignment w:val="center"/>
              <w:rPr>
                <w:rFonts w:ascii="宋体" w:hAnsi="宋体" w:eastAsia="宋体" w:cs="宋体"/>
                <w:kern w:val="0"/>
                <w:sz w:val="21"/>
                <w:szCs w:val="21"/>
              </w:rPr>
            </w:pPr>
            <w:r>
              <w:rPr>
                <w:rFonts w:hint="eastAsia" w:ascii="宋体" w:hAnsi="宋体" w:eastAsia="宋体" w:cs="宋体"/>
                <w:kern w:val="0"/>
                <w:sz w:val="21"/>
                <w:szCs w:val="21"/>
              </w:rPr>
              <w:t>2.协助做好气象灾害隐患排查工作。摸清辖区主要气象灾害及可能造成灾害的隐患点位置、人口、建筑体等，制定灾害发生处置预案和人员转移路线等。</w:t>
            </w:r>
          </w:p>
          <w:p w14:paraId="0435C647">
            <w:pPr>
              <w:widowControl/>
              <w:spacing w:line="300" w:lineRule="exact"/>
              <w:jc w:val="left"/>
              <w:textAlignment w:val="center"/>
              <w:rPr>
                <w:rFonts w:ascii="宋体" w:hAnsi="宋体" w:eastAsia="宋体" w:cs="宋体"/>
                <w:kern w:val="0"/>
                <w:sz w:val="21"/>
                <w:szCs w:val="21"/>
              </w:rPr>
            </w:pPr>
            <w:r>
              <w:rPr>
                <w:rFonts w:hint="eastAsia" w:ascii="宋体" w:hAnsi="宋体" w:eastAsia="宋体" w:cs="宋体"/>
                <w:kern w:val="0"/>
                <w:sz w:val="21"/>
                <w:szCs w:val="21"/>
              </w:rPr>
              <w:t>3.协助做好气象预警信息传播工作。当接收到气象主管机构发布气象预警信息时，及时将预警信息通过各类渠道传递到辖区居民，实现预警信息到村到户到人。</w:t>
            </w:r>
          </w:p>
          <w:p w14:paraId="6ACBBA98">
            <w:pPr>
              <w:widowControl/>
              <w:spacing w:line="300" w:lineRule="exact"/>
              <w:jc w:val="left"/>
              <w:textAlignment w:val="center"/>
              <w:rPr>
                <w:rFonts w:ascii="宋体" w:hAnsi="宋体" w:eastAsia="宋体" w:cs="宋体"/>
                <w:sz w:val="21"/>
                <w:szCs w:val="21"/>
              </w:rPr>
            </w:pPr>
            <w:r>
              <w:rPr>
                <w:rFonts w:hint="eastAsia" w:ascii="宋体" w:hAnsi="宋体" w:eastAsia="宋体" w:cs="宋体"/>
                <w:kern w:val="0"/>
                <w:sz w:val="21"/>
                <w:szCs w:val="21"/>
              </w:rPr>
              <w:t>4.协助做好灾情统计上报工作。当辖区出现气象灾害时，及时将气象实况、人财物损失和预警信息传播等基本情况，上报当地气象主管机构。</w:t>
            </w:r>
          </w:p>
        </w:tc>
        <w:tc>
          <w:tcPr>
            <w:tcW w:w="1404" w:type="dxa"/>
            <w:tcBorders>
              <w:top w:val="single" w:color="auto" w:sz="4" w:space="0"/>
              <w:left w:val="single" w:color="auto" w:sz="4" w:space="0"/>
              <w:bottom w:val="single" w:color="auto" w:sz="4" w:space="0"/>
              <w:right w:val="single" w:color="auto" w:sz="4" w:space="0"/>
            </w:tcBorders>
            <w:vAlign w:val="center"/>
          </w:tcPr>
          <w:p w14:paraId="44AC7496">
            <w:pPr>
              <w:rPr>
                <w:rFonts w:ascii="宋体" w:hAnsi="宋体" w:eastAsia="宋体" w:cs="宋体"/>
                <w:sz w:val="21"/>
                <w:szCs w:val="21"/>
              </w:rPr>
            </w:pPr>
            <w:r>
              <w:rPr>
                <w:rFonts w:hint="eastAsia" w:ascii="宋体" w:hAnsi="宋体" w:eastAsia="宋体" w:cs="宋体"/>
                <w:kern w:val="0"/>
                <w:sz w:val="21"/>
                <w:szCs w:val="21"/>
              </w:rPr>
              <w:t>《重庆市气象灾害防御条例》第三十五条</w:t>
            </w:r>
          </w:p>
        </w:tc>
        <w:tc>
          <w:tcPr>
            <w:tcW w:w="900" w:type="dxa"/>
            <w:tcBorders>
              <w:top w:val="single" w:color="auto" w:sz="4" w:space="0"/>
              <w:left w:val="single" w:color="auto" w:sz="4" w:space="0"/>
              <w:bottom w:val="single" w:color="auto" w:sz="4" w:space="0"/>
              <w:right w:val="single" w:color="auto" w:sz="4" w:space="0"/>
            </w:tcBorders>
            <w:vAlign w:val="center"/>
          </w:tcPr>
          <w:p w14:paraId="5D541C45">
            <w:pPr>
              <w:spacing w:line="320" w:lineRule="exact"/>
              <w:jc w:val="left"/>
              <w:rPr>
                <w:rFonts w:ascii="宋体" w:hAnsi="宋体" w:eastAsia="宋体" w:cs="宋体"/>
                <w:sz w:val="21"/>
                <w:szCs w:val="21"/>
              </w:rPr>
            </w:pPr>
            <w:r>
              <w:rPr>
                <w:rFonts w:hint="eastAsia" w:ascii="宋体" w:hAnsi="宋体" w:eastAsia="宋体" w:cs="宋体"/>
                <w:sz w:val="21"/>
                <w:szCs w:val="21"/>
              </w:rPr>
              <w:t>气象部门</w:t>
            </w:r>
          </w:p>
        </w:tc>
        <w:tc>
          <w:tcPr>
            <w:tcW w:w="686" w:type="dxa"/>
            <w:tcBorders>
              <w:top w:val="single" w:color="auto" w:sz="4" w:space="0"/>
              <w:left w:val="single" w:color="auto" w:sz="4" w:space="0"/>
              <w:bottom w:val="single" w:color="auto" w:sz="4" w:space="0"/>
              <w:right w:val="single" w:color="auto" w:sz="4" w:space="0"/>
            </w:tcBorders>
            <w:vAlign w:val="center"/>
          </w:tcPr>
          <w:p w14:paraId="683B5781">
            <w:pPr>
              <w:spacing w:line="320" w:lineRule="exact"/>
              <w:rPr>
                <w:rFonts w:ascii="宋体" w:hAnsi="宋体" w:eastAsia="宋体" w:cs="宋体"/>
                <w:sz w:val="21"/>
                <w:szCs w:val="21"/>
              </w:rPr>
            </w:pPr>
          </w:p>
        </w:tc>
      </w:tr>
      <w:tr w14:paraId="3F84EBC2">
        <w:tblPrEx>
          <w:tblCellMar>
            <w:top w:w="15" w:type="dxa"/>
            <w:left w:w="15" w:type="dxa"/>
            <w:bottom w:w="15" w:type="dxa"/>
            <w:right w:w="15" w:type="dxa"/>
          </w:tblCellMar>
        </w:tblPrEx>
        <w:trPr>
          <w:trHeight w:val="2095" w:hRule="atLeast"/>
          <w:jc w:val="center"/>
        </w:trPr>
        <w:tc>
          <w:tcPr>
            <w:tcW w:w="808" w:type="dxa"/>
            <w:tcBorders>
              <w:top w:val="single" w:color="auto" w:sz="4" w:space="0"/>
              <w:left w:val="single" w:color="auto" w:sz="4" w:space="0"/>
              <w:bottom w:val="single" w:color="auto" w:sz="4" w:space="0"/>
              <w:right w:val="single" w:color="auto" w:sz="4" w:space="0"/>
            </w:tcBorders>
            <w:vAlign w:val="center"/>
          </w:tcPr>
          <w:p w14:paraId="7A568853">
            <w:pPr>
              <w:spacing w:line="320" w:lineRule="exact"/>
              <w:jc w:val="center"/>
              <w:rPr>
                <w:rFonts w:hint="eastAsia" w:ascii="宋体" w:hAnsi="宋体" w:eastAsia="宋体" w:cs="宋体"/>
                <w:sz w:val="21"/>
                <w:szCs w:val="21"/>
              </w:rPr>
            </w:pPr>
          </w:p>
          <w:p w14:paraId="3C686AEC">
            <w:pPr>
              <w:spacing w:line="320" w:lineRule="exact"/>
              <w:jc w:val="center"/>
              <w:rPr>
                <w:rFonts w:hint="eastAsia" w:ascii="宋体" w:hAnsi="宋体" w:eastAsia="宋体" w:cs="宋体"/>
                <w:sz w:val="21"/>
                <w:szCs w:val="21"/>
              </w:rPr>
            </w:pPr>
          </w:p>
          <w:p w14:paraId="748A6BB4">
            <w:pPr>
              <w:spacing w:line="320" w:lineRule="exact"/>
              <w:jc w:val="center"/>
              <w:rPr>
                <w:rFonts w:hint="eastAsia" w:ascii="宋体" w:hAnsi="宋体" w:eastAsia="宋体" w:cs="宋体"/>
                <w:sz w:val="21"/>
                <w:szCs w:val="21"/>
              </w:rPr>
            </w:pPr>
          </w:p>
          <w:p w14:paraId="2A7592EE">
            <w:pPr>
              <w:spacing w:line="320" w:lineRule="exact"/>
              <w:jc w:val="center"/>
              <w:rPr>
                <w:rFonts w:hint="eastAsia" w:ascii="宋体" w:hAnsi="宋体" w:eastAsia="宋体" w:cs="宋体"/>
                <w:sz w:val="21"/>
                <w:szCs w:val="21"/>
              </w:rPr>
            </w:pPr>
          </w:p>
          <w:p w14:paraId="574FB801">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19</w:t>
            </w:r>
          </w:p>
          <w:p w14:paraId="07CADA7E">
            <w:pPr>
              <w:spacing w:line="320" w:lineRule="exact"/>
              <w:jc w:val="center"/>
              <w:rPr>
                <w:rFonts w:hint="eastAsia" w:ascii="宋体" w:hAnsi="宋体" w:eastAsia="宋体" w:cs="宋体"/>
                <w:sz w:val="21"/>
                <w:szCs w:val="21"/>
              </w:rPr>
            </w:pPr>
          </w:p>
          <w:p w14:paraId="25B5E801">
            <w:pPr>
              <w:spacing w:line="320" w:lineRule="exact"/>
              <w:jc w:val="center"/>
              <w:rPr>
                <w:rFonts w:hint="eastAsia" w:ascii="宋体" w:hAnsi="宋体" w:eastAsia="宋体" w:cs="宋体"/>
                <w:sz w:val="21"/>
                <w:szCs w:val="21"/>
              </w:rPr>
            </w:pPr>
          </w:p>
          <w:p w14:paraId="3276A331">
            <w:pPr>
              <w:spacing w:line="320" w:lineRule="exact"/>
              <w:jc w:val="center"/>
              <w:rPr>
                <w:rFonts w:hint="eastAsia" w:ascii="宋体" w:hAnsi="宋体" w:eastAsia="宋体" w:cs="宋体"/>
                <w:sz w:val="21"/>
                <w:szCs w:val="21"/>
              </w:rPr>
            </w:pPr>
          </w:p>
          <w:p w14:paraId="5DF74B66">
            <w:pPr>
              <w:spacing w:line="320" w:lineRule="exact"/>
              <w:jc w:val="center"/>
              <w:rPr>
                <w:rFonts w:hint="eastAsia" w:ascii="宋体" w:hAnsi="宋体" w:eastAsia="宋体" w:cs="宋体"/>
                <w:sz w:val="21"/>
                <w:szCs w:val="21"/>
              </w:rPr>
            </w:pPr>
          </w:p>
          <w:p w14:paraId="14B9A252">
            <w:pPr>
              <w:spacing w:line="320" w:lineRule="exact"/>
              <w:jc w:val="center"/>
              <w:rPr>
                <w:rFonts w:hint="eastAsia" w:ascii="宋体" w:hAnsi="宋体" w:eastAsia="宋体" w:cs="宋体"/>
                <w:sz w:val="21"/>
                <w:szCs w:val="21"/>
              </w:rPr>
            </w:pPr>
          </w:p>
          <w:p w14:paraId="2A4C35E8">
            <w:pPr>
              <w:spacing w:line="320" w:lineRule="exact"/>
              <w:jc w:val="center"/>
              <w:rPr>
                <w:rFonts w:hint="eastAsia" w:ascii="宋体" w:hAnsi="宋体" w:eastAsia="宋体" w:cs="宋体"/>
                <w:sz w:val="21"/>
                <w:szCs w:val="21"/>
              </w:rPr>
            </w:pPr>
          </w:p>
          <w:p w14:paraId="14540548">
            <w:pPr>
              <w:spacing w:line="320" w:lineRule="exact"/>
              <w:jc w:val="center"/>
              <w:rPr>
                <w:rFonts w:hint="eastAsia" w:ascii="宋体" w:hAnsi="宋体" w:eastAsia="宋体" w:cs="宋体"/>
                <w:sz w:val="21"/>
                <w:szCs w:val="21"/>
              </w:rPr>
            </w:pPr>
          </w:p>
          <w:p w14:paraId="2AE84548">
            <w:pPr>
              <w:spacing w:line="320" w:lineRule="exact"/>
              <w:jc w:val="center"/>
              <w:rPr>
                <w:rFonts w:ascii="宋体" w:hAnsi="宋体" w:eastAsia="宋体" w:cs="宋体"/>
                <w:sz w:val="21"/>
                <w:szCs w:val="21"/>
              </w:rPr>
            </w:pPr>
            <w:r>
              <w:rPr>
                <w:rFonts w:hint="eastAsia" w:ascii="宋体" w:hAnsi="宋体" w:eastAsia="宋体" w:cs="宋体"/>
                <w:sz w:val="21"/>
                <w:szCs w:val="21"/>
              </w:rPr>
              <w:t>19</w:t>
            </w:r>
          </w:p>
        </w:tc>
        <w:tc>
          <w:tcPr>
            <w:tcW w:w="1314" w:type="dxa"/>
            <w:tcBorders>
              <w:top w:val="single" w:color="auto" w:sz="4" w:space="0"/>
              <w:left w:val="single" w:color="auto" w:sz="4" w:space="0"/>
              <w:bottom w:val="single" w:color="auto" w:sz="4" w:space="0"/>
              <w:right w:val="single" w:color="auto" w:sz="4" w:space="0"/>
            </w:tcBorders>
            <w:vAlign w:val="center"/>
          </w:tcPr>
          <w:p w14:paraId="7A2971A4">
            <w:pPr>
              <w:widowControl/>
              <w:spacing w:line="320" w:lineRule="exact"/>
              <w:textAlignment w:val="center"/>
              <w:rPr>
                <w:rFonts w:ascii="宋体" w:hAnsi="宋体" w:eastAsia="宋体" w:cs="宋体"/>
                <w:sz w:val="21"/>
                <w:szCs w:val="21"/>
              </w:rPr>
            </w:pPr>
            <w:r>
              <w:rPr>
                <w:rFonts w:hint="eastAsia" w:ascii="宋体" w:hAnsi="宋体" w:eastAsia="宋体" w:cs="宋体"/>
                <w:kern w:val="0"/>
                <w:sz w:val="21"/>
                <w:szCs w:val="21"/>
              </w:rPr>
              <w:t>协助管理宗教事务</w:t>
            </w:r>
          </w:p>
        </w:tc>
        <w:tc>
          <w:tcPr>
            <w:tcW w:w="1802" w:type="dxa"/>
            <w:tcBorders>
              <w:top w:val="single" w:color="auto" w:sz="4" w:space="0"/>
              <w:left w:val="single" w:color="auto" w:sz="4" w:space="0"/>
              <w:bottom w:val="single" w:color="auto" w:sz="4" w:space="0"/>
              <w:right w:val="single" w:color="auto" w:sz="4" w:space="0"/>
            </w:tcBorders>
            <w:vAlign w:val="center"/>
          </w:tcPr>
          <w:p w14:paraId="6589D106">
            <w:pPr>
              <w:widowControl/>
              <w:spacing w:line="320" w:lineRule="exact"/>
              <w:jc w:val="left"/>
              <w:textAlignment w:val="center"/>
              <w:rPr>
                <w:rFonts w:ascii="宋体" w:hAnsi="宋体" w:eastAsia="宋体" w:cs="宋体"/>
                <w:sz w:val="21"/>
                <w:szCs w:val="21"/>
              </w:rPr>
            </w:pPr>
            <w:r>
              <w:rPr>
                <w:rFonts w:hint="eastAsia" w:ascii="宋体" w:hAnsi="宋体" w:eastAsia="宋体" w:cs="宋体"/>
                <w:kern w:val="0"/>
                <w:sz w:val="21"/>
                <w:szCs w:val="21"/>
              </w:rPr>
              <w:t>协助管理宗教事务。</w:t>
            </w:r>
          </w:p>
        </w:tc>
        <w:tc>
          <w:tcPr>
            <w:tcW w:w="7846" w:type="dxa"/>
            <w:tcBorders>
              <w:top w:val="single" w:color="auto" w:sz="4" w:space="0"/>
              <w:left w:val="single" w:color="auto" w:sz="4" w:space="0"/>
              <w:bottom w:val="single" w:color="auto" w:sz="4" w:space="0"/>
              <w:right w:val="single" w:color="auto" w:sz="4" w:space="0"/>
            </w:tcBorders>
            <w:vAlign w:val="center"/>
          </w:tcPr>
          <w:p w14:paraId="2B4A51A1">
            <w:pPr>
              <w:spacing w:line="300" w:lineRule="exact"/>
              <w:rPr>
                <w:rFonts w:ascii="宋体" w:hAnsi="宋体" w:eastAsia="宋体" w:cs="宋体"/>
                <w:sz w:val="21"/>
                <w:szCs w:val="21"/>
              </w:rPr>
            </w:pPr>
            <w:r>
              <w:rPr>
                <w:rFonts w:hint="eastAsia" w:ascii="宋体" w:hAnsi="宋体" w:eastAsia="宋体" w:cs="宋体"/>
                <w:sz w:val="21"/>
                <w:szCs w:val="21"/>
              </w:rPr>
              <w:t>1.建立完善县（市、区、镇）、乡（镇、街道）、村（社区）三级宗教工作网络。严格落实乡村两级宗教工作责任制，建立健全分级负责、属地管理和责任追究制度。</w:t>
            </w:r>
          </w:p>
          <w:p w14:paraId="55292C14">
            <w:pPr>
              <w:spacing w:line="300" w:lineRule="exact"/>
              <w:rPr>
                <w:rFonts w:ascii="宋体" w:hAnsi="宋体" w:eastAsia="宋体" w:cs="宋体"/>
                <w:sz w:val="21"/>
                <w:szCs w:val="21"/>
              </w:rPr>
            </w:pPr>
            <w:r>
              <w:rPr>
                <w:rFonts w:hint="eastAsia" w:ascii="宋体" w:hAnsi="宋体" w:eastAsia="宋体" w:cs="宋体"/>
                <w:sz w:val="21"/>
                <w:szCs w:val="21"/>
              </w:rPr>
              <w:t>2.村民委员会、居民委员会应当依法协助人民政府管理宗教事务，做好下列工作：</w:t>
            </w:r>
          </w:p>
          <w:p w14:paraId="3C3817CB">
            <w:pPr>
              <w:spacing w:line="300" w:lineRule="exact"/>
              <w:rPr>
                <w:rFonts w:ascii="宋体" w:hAnsi="宋体" w:eastAsia="宋体" w:cs="宋体"/>
                <w:sz w:val="21"/>
                <w:szCs w:val="21"/>
              </w:rPr>
            </w:pPr>
            <w:r>
              <w:rPr>
                <w:rFonts w:hint="eastAsia" w:ascii="宋体" w:hAnsi="宋体" w:eastAsia="宋体" w:cs="宋体"/>
                <w:sz w:val="21"/>
                <w:szCs w:val="21"/>
              </w:rPr>
              <w:t>①协助开展法律法规和宗教政策宣传，教育和引导群众自觉抵制邪教和非法宗教活动。</w:t>
            </w:r>
          </w:p>
          <w:p w14:paraId="1A0CD10F">
            <w:pPr>
              <w:spacing w:line="300" w:lineRule="exact"/>
              <w:rPr>
                <w:rFonts w:ascii="宋体" w:hAnsi="宋体" w:eastAsia="宋体" w:cs="宋体"/>
                <w:sz w:val="21"/>
                <w:szCs w:val="21"/>
              </w:rPr>
            </w:pPr>
            <w:r>
              <w:rPr>
                <w:rFonts w:hint="eastAsia" w:ascii="宋体" w:hAnsi="宋体" w:eastAsia="宋体" w:cs="宋体"/>
                <w:sz w:val="21"/>
                <w:szCs w:val="21"/>
              </w:rPr>
              <w:t>②协助处理与宗教活动场所、信教公民有关的矛盾纠纷，维护信教公民与不信教公民的团结。</w:t>
            </w:r>
          </w:p>
          <w:p w14:paraId="26FE0C94">
            <w:pPr>
              <w:spacing w:line="300" w:lineRule="exact"/>
              <w:rPr>
                <w:rFonts w:ascii="宋体" w:hAnsi="宋体" w:eastAsia="宋体" w:cs="宋体"/>
                <w:sz w:val="21"/>
                <w:szCs w:val="21"/>
              </w:rPr>
            </w:pPr>
            <w:r>
              <w:rPr>
                <w:rFonts w:hint="eastAsia" w:ascii="宋体" w:hAnsi="宋体" w:eastAsia="宋体" w:cs="宋体"/>
                <w:sz w:val="21"/>
                <w:szCs w:val="21"/>
              </w:rPr>
              <w:t>③及时反映非法宗教组织、非法宗教活动以及利用宗教干预基层公共事务的情况。</w:t>
            </w:r>
          </w:p>
          <w:p w14:paraId="137B2397">
            <w:pPr>
              <w:pStyle w:val="2"/>
              <w:keepNext w:val="0"/>
              <w:keepLines w:val="0"/>
              <w:spacing w:before="0" w:after="0" w:line="300" w:lineRule="exact"/>
              <w:rPr>
                <w:rFonts w:ascii="宋体" w:hAnsi="宋体" w:eastAsia="宋体" w:cs="宋体"/>
                <w:b w:val="0"/>
                <w:bCs w:val="0"/>
                <w:sz w:val="21"/>
                <w:szCs w:val="21"/>
              </w:rPr>
            </w:pPr>
            <w:r>
              <w:rPr>
                <w:rFonts w:hint="eastAsia" w:ascii="宋体" w:hAnsi="宋体" w:eastAsia="宋体" w:cs="宋体"/>
                <w:b w:val="0"/>
                <w:bCs w:val="0"/>
                <w:sz w:val="21"/>
                <w:szCs w:val="21"/>
              </w:rPr>
              <w:t>④协助有关部门查处涉及宗教事务的违法行为。</w:t>
            </w:r>
          </w:p>
          <w:p w14:paraId="0A3DB705">
            <w:pPr>
              <w:spacing w:line="300" w:lineRule="exact"/>
              <w:rPr>
                <w:rFonts w:ascii="宋体" w:hAnsi="宋体" w:eastAsia="宋体" w:cs="宋体"/>
                <w:sz w:val="21"/>
                <w:szCs w:val="21"/>
              </w:rPr>
            </w:pPr>
            <w:r>
              <w:rPr>
                <w:rFonts w:hint="eastAsia" w:ascii="宋体" w:hAnsi="宋体" w:eastAsia="宋体" w:cs="宋体"/>
                <w:sz w:val="21"/>
                <w:szCs w:val="21"/>
              </w:rPr>
              <w:t>3.区县（自治县）宗教事务部门在指定临时活动地点前，应当征求宗教团体和所在地乡（镇）人民政府、街道办事处、村（居）民委员会的意见，并听取周边居民、单位的意见。村民委员会、居民委员会应当协助乡（镇）人民政府、街道办事处对临时活动地点的活动进行监管。</w:t>
            </w:r>
          </w:p>
        </w:tc>
        <w:tc>
          <w:tcPr>
            <w:tcW w:w="1404" w:type="dxa"/>
            <w:tcBorders>
              <w:top w:val="single" w:color="auto" w:sz="4" w:space="0"/>
              <w:left w:val="single" w:color="auto" w:sz="4" w:space="0"/>
              <w:bottom w:val="single" w:color="auto" w:sz="4" w:space="0"/>
              <w:right w:val="single" w:color="auto" w:sz="4" w:space="0"/>
            </w:tcBorders>
            <w:vAlign w:val="center"/>
          </w:tcPr>
          <w:p w14:paraId="59E2DEF6">
            <w:pPr>
              <w:spacing w:line="320" w:lineRule="exact"/>
              <w:jc w:val="left"/>
              <w:rPr>
                <w:rFonts w:ascii="宋体" w:hAnsi="宋体" w:eastAsia="宋体" w:cs="宋体"/>
                <w:sz w:val="21"/>
                <w:szCs w:val="21"/>
              </w:rPr>
            </w:pPr>
            <w:r>
              <w:rPr>
                <w:rFonts w:hint="eastAsia" w:ascii="宋体" w:hAnsi="宋体" w:eastAsia="宋体" w:cs="宋体"/>
                <w:sz w:val="21"/>
                <w:szCs w:val="21"/>
              </w:rPr>
              <w:t>《宗教事务条例》第六条第三款</w:t>
            </w:r>
          </w:p>
          <w:p w14:paraId="22310429">
            <w:pPr>
              <w:spacing w:line="320" w:lineRule="exact"/>
              <w:jc w:val="left"/>
              <w:rPr>
                <w:rFonts w:ascii="宋体" w:hAnsi="宋体" w:eastAsia="宋体" w:cs="宋体"/>
                <w:sz w:val="21"/>
                <w:szCs w:val="21"/>
              </w:rPr>
            </w:pPr>
            <w:r>
              <w:rPr>
                <w:rFonts w:hint="eastAsia" w:ascii="宋体" w:hAnsi="宋体" w:eastAsia="宋体" w:cs="宋体"/>
                <w:sz w:val="21"/>
                <w:szCs w:val="21"/>
              </w:rPr>
              <w:t>《重庆市宗教事务条例》第三十八条、第六十九条</w:t>
            </w:r>
          </w:p>
        </w:tc>
        <w:tc>
          <w:tcPr>
            <w:tcW w:w="900" w:type="dxa"/>
            <w:tcBorders>
              <w:top w:val="single" w:color="auto" w:sz="4" w:space="0"/>
              <w:left w:val="single" w:color="auto" w:sz="4" w:space="0"/>
              <w:bottom w:val="single" w:color="auto" w:sz="4" w:space="0"/>
              <w:right w:val="single" w:color="auto" w:sz="4" w:space="0"/>
            </w:tcBorders>
            <w:vAlign w:val="center"/>
          </w:tcPr>
          <w:p w14:paraId="19DC4AC0">
            <w:pPr>
              <w:spacing w:line="320" w:lineRule="exact"/>
              <w:jc w:val="left"/>
              <w:rPr>
                <w:rFonts w:ascii="宋体" w:hAnsi="宋体" w:eastAsia="宋体" w:cs="宋体"/>
                <w:sz w:val="21"/>
                <w:szCs w:val="21"/>
              </w:rPr>
            </w:pPr>
            <w:r>
              <w:rPr>
                <w:rFonts w:hint="eastAsia" w:ascii="宋体" w:hAnsi="宋体" w:eastAsia="宋体" w:cs="宋体"/>
                <w:sz w:val="21"/>
                <w:szCs w:val="21"/>
              </w:rPr>
              <w:t>民族宗教部门</w:t>
            </w:r>
          </w:p>
        </w:tc>
        <w:tc>
          <w:tcPr>
            <w:tcW w:w="686" w:type="dxa"/>
            <w:tcBorders>
              <w:top w:val="single" w:color="auto" w:sz="4" w:space="0"/>
              <w:left w:val="single" w:color="auto" w:sz="4" w:space="0"/>
              <w:bottom w:val="single" w:color="auto" w:sz="4" w:space="0"/>
              <w:right w:val="single" w:color="auto" w:sz="4" w:space="0"/>
            </w:tcBorders>
            <w:vAlign w:val="center"/>
          </w:tcPr>
          <w:p w14:paraId="5BE9B6C1">
            <w:pPr>
              <w:spacing w:line="320" w:lineRule="exact"/>
              <w:rPr>
                <w:rFonts w:ascii="宋体" w:hAnsi="宋体" w:eastAsia="宋体" w:cs="宋体"/>
                <w:sz w:val="21"/>
                <w:szCs w:val="21"/>
              </w:rPr>
            </w:pPr>
          </w:p>
        </w:tc>
      </w:tr>
      <w:tr w14:paraId="6760D176">
        <w:tblPrEx>
          <w:tblCellMar>
            <w:top w:w="15" w:type="dxa"/>
            <w:left w:w="15" w:type="dxa"/>
            <w:bottom w:w="15" w:type="dxa"/>
            <w:right w:w="15" w:type="dxa"/>
          </w:tblCellMar>
        </w:tblPrEx>
        <w:trPr>
          <w:trHeight w:val="4435" w:hRule="atLeast"/>
          <w:jc w:val="center"/>
        </w:trPr>
        <w:tc>
          <w:tcPr>
            <w:tcW w:w="808" w:type="dxa"/>
            <w:tcBorders>
              <w:top w:val="single" w:color="auto" w:sz="4" w:space="0"/>
              <w:left w:val="single" w:color="auto" w:sz="4" w:space="0"/>
              <w:bottom w:val="single" w:color="auto" w:sz="4" w:space="0"/>
              <w:right w:val="single" w:color="auto" w:sz="4" w:space="0"/>
            </w:tcBorders>
            <w:vAlign w:val="center"/>
          </w:tcPr>
          <w:p w14:paraId="43C4054D">
            <w:pPr>
              <w:spacing w:line="320" w:lineRule="exact"/>
              <w:jc w:val="center"/>
              <w:rPr>
                <w:rFonts w:ascii="宋体" w:hAnsi="宋体" w:eastAsia="宋体" w:cs="宋体"/>
                <w:sz w:val="21"/>
                <w:szCs w:val="21"/>
              </w:rPr>
            </w:pPr>
            <w:r>
              <w:rPr>
                <w:rFonts w:hint="eastAsia" w:ascii="宋体" w:hAnsi="宋体" w:eastAsia="宋体" w:cs="宋体"/>
                <w:sz w:val="21"/>
                <w:szCs w:val="21"/>
              </w:rPr>
              <w:t>20</w:t>
            </w:r>
          </w:p>
        </w:tc>
        <w:tc>
          <w:tcPr>
            <w:tcW w:w="1314" w:type="dxa"/>
            <w:tcBorders>
              <w:top w:val="single" w:color="auto" w:sz="4" w:space="0"/>
              <w:left w:val="single" w:color="auto" w:sz="4" w:space="0"/>
              <w:bottom w:val="single" w:color="auto" w:sz="4" w:space="0"/>
              <w:right w:val="single" w:color="auto" w:sz="4" w:space="0"/>
            </w:tcBorders>
            <w:vAlign w:val="center"/>
          </w:tcPr>
          <w:p w14:paraId="043211E3">
            <w:pPr>
              <w:widowControl/>
              <w:spacing w:line="320" w:lineRule="exact"/>
              <w:textAlignment w:val="center"/>
              <w:rPr>
                <w:rFonts w:ascii="宋体" w:hAnsi="宋体" w:eastAsia="宋体" w:cs="宋体"/>
                <w:sz w:val="21"/>
                <w:szCs w:val="21"/>
              </w:rPr>
            </w:pPr>
            <w:r>
              <w:rPr>
                <w:rFonts w:hint="eastAsia" w:ascii="宋体" w:hAnsi="宋体" w:eastAsia="宋体" w:cs="宋体"/>
                <w:kern w:val="0"/>
                <w:sz w:val="21"/>
                <w:szCs w:val="21"/>
              </w:rPr>
              <w:t>协助做好安全生产的监督管理</w:t>
            </w:r>
          </w:p>
        </w:tc>
        <w:tc>
          <w:tcPr>
            <w:tcW w:w="1802" w:type="dxa"/>
            <w:tcBorders>
              <w:top w:val="single" w:color="auto" w:sz="4" w:space="0"/>
              <w:left w:val="single" w:color="auto" w:sz="4" w:space="0"/>
              <w:bottom w:val="single" w:color="auto" w:sz="4" w:space="0"/>
              <w:right w:val="single" w:color="auto" w:sz="4" w:space="0"/>
            </w:tcBorders>
            <w:vAlign w:val="center"/>
          </w:tcPr>
          <w:p w14:paraId="099565A0">
            <w:pPr>
              <w:widowControl/>
              <w:spacing w:line="320" w:lineRule="exact"/>
              <w:jc w:val="left"/>
              <w:textAlignment w:val="center"/>
              <w:rPr>
                <w:rFonts w:ascii="宋体" w:hAnsi="宋体" w:eastAsia="宋体" w:cs="宋体"/>
                <w:sz w:val="21"/>
                <w:szCs w:val="21"/>
              </w:rPr>
            </w:pPr>
            <w:r>
              <w:rPr>
                <w:rFonts w:hint="eastAsia" w:ascii="宋体" w:hAnsi="宋体" w:eastAsia="宋体" w:cs="宋体"/>
                <w:kern w:val="0"/>
                <w:sz w:val="21"/>
                <w:szCs w:val="21"/>
              </w:rPr>
              <w:t>发现所在区域内存在安全生产违法行为或者事故隐患的，应当进行劝导、制止和报告。</w:t>
            </w:r>
          </w:p>
        </w:tc>
        <w:tc>
          <w:tcPr>
            <w:tcW w:w="7846" w:type="dxa"/>
            <w:tcBorders>
              <w:top w:val="single" w:color="auto" w:sz="4" w:space="0"/>
              <w:left w:val="single" w:color="auto" w:sz="4" w:space="0"/>
              <w:bottom w:val="single" w:color="auto" w:sz="4" w:space="0"/>
              <w:right w:val="single" w:color="auto" w:sz="4" w:space="0"/>
            </w:tcBorders>
            <w:vAlign w:val="center"/>
          </w:tcPr>
          <w:p w14:paraId="517E7333">
            <w:pPr>
              <w:spacing w:line="300" w:lineRule="exact"/>
              <w:rPr>
                <w:rFonts w:ascii="宋体" w:hAnsi="宋体" w:eastAsia="宋体" w:cs="宋体"/>
                <w:bCs/>
                <w:sz w:val="21"/>
                <w:szCs w:val="21"/>
              </w:rPr>
            </w:pPr>
            <w:r>
              <w:rPr>
                <w:rFonts w:hint="eastAsia" w:ascii="宋体" w:hAnsi="宋体" w:eastAsia="宋体" w:cs="宋体"/>
                <w:bCs/>
                <w:sz w:val="21"/>
                <w:szCs w:val="21"/>
              </w:rPr>
              <w:t>1.走访巡检。根据乡镇（街道、园区）的统一安排开展重点检查和日常巡查，突出重点部位、场所、设施、人员，尤其是基层企业、“三小场所”（小商铺、小作坊、小娱乐场所）、“三合一”、家庭户等非法生产情况的检查，并报告检查巡查情况。</w:t>
            </w:r>
          </w:p>
          <w:p w14:paraId="5631CBF7">
            <w:pPr>
              <w:spacing w:line="300" w:lineRule="exact"/>
              <w:rPr>
                <w:rFonts w:ascii="宋体" w:hAnsi="宋体" w:eastAsia="宋体" w:cs="宋体"/>
                <w:bCs/>
                <w:sz w:val="21"/>
                <w:szCs w:val="21"/>
              </w:rPr>
            </w:pPr>
            <w:r>
              <w:rPr>
                <w:rFonts w:hint="eastAsia" w:ascii="宋体" w:hAnsi="宋体" w:eastAsia="宋体" w:cs="宋体"/>
                <w:bCs/>
                <w:sz w:val="21"/>
                <w:szCs w:val="21"/>
              </w:rPr>
              <w:t>2.宣传教育。通过集中宣传或在巡查时“喊话”等方式，开展安全知识宣传，及时传达上级预警、文件、重要通知。</w:t>
            </w:r>
          </w:p>
          <w:p w14:paraId="39031FFC">
            <w:pPr>
              <w:spacing w:line="300" w:lineRule="exact"/>
              <w:rPr>
                <w:rFonts w:ascii="宋体" w:hAnsi="宋体" w:eastAsia="宋体" w:cs="宋体"/>
                <w:bCs/>
                <w:sz w:val="21"/>
                <w:szCs w:val="21"/>
              </w:rPr>
            </w:pPr>
            <w:r>
              <w:rPr>
                <w:rFonts w:hint="eastAsia" w:ascii="宋体" w:hAnsi="宋体" w:eastAsia="宋体" w:cs="宋体"/>
                <w:bCs/>
                <w:sz w:val="21"/>
                <w:szCs w:val="21"/>
              </w:rPr>
              <w:t>3.劝导制止。对检查中发现或接到报告的事故隐患和安全生产违法行为，应及时劝导、制止，根据需要及时疏散人员、设置临时警示等，防止事故发生。</w:t>
            </w:r>
          </w:p>
          <w:p w14:paraId="5A88AB72">
            <w:pPr>
              <w:spacing w:line="300" w:lineRule="exact"/>
              <w:rPr>
                <w:rFonts w:ascii="宋体" w:hAnsi="宋体" w:eastAsia="宋体" w:cs="宋体"/>
                <w:bCs/>
                <w:sz w:val="21"/>
                <w:szCs w:val="21"/>
              </w:rPr>
            </w:pPr>
            <w:r>
              <w:rPr>
                <w:rFonts w:hint="eastAsia" w:ascii="宋体" w:hAnsi="宋体" w:eastAsia="宋体" w:cs="宋体"/>
                <w:bCs/>
                <w:sz w:val="21"/>
                <w:szCs w:val="21"/>
              </w:rPr>
              <w:t>4.信息报告。发现的问题或隐患，均向乡镇（街道、园区）报告，并跟踪处置结果。</w:t>
            </w:r>
          </w:p>
          <w:p w14:paraId="4AC2E2ED">
            <w:pPr>
              <w:spacing w:line="300" w:lineRule="exact"/>
              <w:rPr>
                <w:rFonts w:ascii="宋体" w:hAnsi="宋体" w:eastAsia="宋体" w:cs="宋体"/>
                <w:sz w:val="21"/>
                <w:szCs w:val="21"/>
              </w:rPr>
            </w:pPr>
            <w:r>
              <w:rPr>
                <w:rFonts w:hint="eastAsia" w:ascii="宋体" w:hAnsi="宋体" w:eastAsia="宋体" w:cs="宋体"/>
                <w:bCs/>
                <w:sz w:val="21"/>
                <w:szCs w:val="21"/>
              </w:rPr>
              <w:t>5.整改跟踪。对发现的问题或隐患治理情况跟踪。交办问题或隐患未及时整改的，及时催办。对超过整改时限未办的，及时向乡镇（街道、园区）报告。</w:t>
            </w:r>
          </w:p>
        </w:tc>
        <w:tc>
          <w:tcPr>
            <w:tcW w:w="1404" w:type="dxa"/>
            <w:tcBorders>
              <w:top w:val="single" w:color="auto" w:sz="4" w:space="0"/>
              <w:left w:val="single" w:color="auto" w:sz="4" w:space="0"/>
              <w:bottom w:val="single" w:color="auto" w:sz="4" w:space="0"/>
              <w:right w:val="single" w:color="auto" w:sz="4" w:space="0"/>
            </w:tcBorders>
            <w:vAlign w:val="center"/>
          </w:tcPr>
          <w:p w14:paraId="5FB6B22A">
            <w:pPr>
              <w:spacing w:line="320" w:lineRule="exact"/>
              <w:jc w:val="left"/>
              <w:rPr>
                <w:rFonts w:ascii="宋体" w:hAnsi="宋体" w:eastAsia="宋体" w:cs="宋体"/>
                <w:sz w:val="21"/>
                <w:szCs w:val="21"/>
              </w:rPr>
            </w:pPr>
            <w:r>
              <w:rPr>
                <w:rFonts w:hint="eastAsia" w:ascii="宋体" w:hAnsi="宋体" w:eastAsia="宋体" w:cs="宋体"/>
                <w:sz w:val="21"/>
                <w:szCs w:val="21"/>
              </w:rPr>
              <w:t>《中华人民共和国安全生产法》第七十二条</w:t>
            </w:r>
          </w:p>
          <w:p w14:paraId="33323A88">
            <w:pPr>
              <w:spacing w:line="320" w:lineRule="exact"/>
              <w:jc w:val="left"/>
              <w:rPr>
                <w:rFonts w:ascii="宋体" w:hAnsi="宋体" w:eastAsia="宋体" w:cs="宋体"/>
                <w:sz w:val="21"/>
                <w:szCs w:val="21"/>
              </w:rPr>
            </w:pPr>
            <w:r>
              <w:rPr>
                <w:rFonts w:hint="eastAsia" w:ascii="宋体" w:hAnsi="宋体" w:eastAsia="宋体" w:cs="宋体"/>
                <w:sz w:val="21"/>
                <w:szCs w:val="21"/>
              </w:rPr>
              <w:t>《重庆市安全生产条例》第十五条第二款</w:t>
            </w:r>
          </w:p>
        </w:tc>
        <w:tc>
          <w:tcPr>
            <w:tcW w:w="900" w:type="dxa"/>
            <w:tcBorders>
              <w:top w:val="single" w:color="auto" w:sz="4" w:space="0"/>
              <w:left w:val="single" w:color="auto" w:sz="4" w:space="0"/>
              <w:bottom w:val="single" w:color="auto" w:sz="4" w:space="0"/>
              <w:right w:val="single" w:color="auto" w:sz="4" w:space="0"/>
            </w:tcBorders>
            <w:vAlign w:val="center"/>
          </w:tcPr>
          <w:p w14:paraId="522DFEC8">
            <w:pPr>
              <w:spacing w:line="320" w:lineRule="exact"/>
              <w:jc w:val="left"/>
              <w:rPr>
                <w:rFonts w:ascii="宋体" w:hAnsi="宋体" w:eastAsia="宋体" w:cs="宋体"/>
                <w:sz w:val="21"/>
                <w:szCs w:val="21"/>
              </w:rPr>
            </w:pPr>
            <w:r>
              <w:rPr>
                <w:rFonts w:hint="eastAsia" w:ascii="宋体" w:hAnsi="宋体" w:eastAsia="宋体" w:cs="宋体"/>
                <w:sz w:val="21"/>
                <w:szCs w:val="21"/>
              </w:rPr>
              <w:t>应急管理部门</w:t>
            </w:r>
          </w:p>
        </w:tc>
        <w:tc>
          <w:tcPr>
            <w:tcW w:w="686" w:type="dxa"/>
            <w:tcBorders>
              <w:top w:val="single" w:color="auto" w:sz="4" w:space="0"/>
              <w:left w:val="single" w:color="auto" w:sz="4" w:space="0"/>
              <w:bottom w:val="single" w:color="auto" w:sz="4" w:space="0"/>
              <w:right w:val="single" w:color="auto" w:sz="4" w:space="0"/>
            </w:tcBorders>
            <w:vAlign w:val="center"/>
          </w:tcPr>
          <w:p w14:paraId="216C82E4">
            <w:pPr>
              <w:spacing w:line="320" w:lineRule="exact"/>
              <w:rPr>
                <w:rFonts w:ascii="宋体" w:hAnsi="宋体" w:eastAsia="宋体" w:cs="宋体"/>
                <w:sz w:val="21"/>
                <w:szCs w:val="21"/>
              </w:rPr>
            </w:pPr>
          </w:p>
        </w:tc>
      </w:tr>
      <w:tr w14:paraId="559130FA">
        <w:tblPrEx>
          <w:tblCellMar>
            <w:top w:w="15" w:type="dxa"/>
            <w:left w:w="15" w:type="dxa"/>
            <w:bottom w:w="15" w:type="dxa"/>
            <w:right w:w="15" w:type="dxa"/>
          </w:tblCellMar>
        </w:tblPrEx>
        <w:trPr>
          <w:trHeight w:val="955" w:hRule="atLeast"/>
          <w:jc w:val="center"/>
        </w:trPr>
        <w:tc>
          <w:tcPr>
            <w:tcW w:w="808" w:type="dxa"/>
            <w:tcBorders>
              <w:top w:val="single" w:color="auto" w:sz="4" w:space="0"/>
              <w:left w:val="single" w:color="auto" w:sz="4" w:space="0"/>
              <w:bottom w:val="single" w:color="auto" w:sz="4" w:space="0"/>
              <w:right w:val="single" w:color="auto" w:sz="4" w:space="0"/>
            </w:tcBorders>
            <w:vAlign w:val="center"/>
          </w:tcPr>
          <w:p w14:paraId="13BB492A">
            <w:pPr>
              <w:spacing w:line="320" w:lineRule="exact"/>
              <w:jc w:val="center"/>
              <w:rPr>
                <w:rFonts w:ascii="宋体" w:hAnsi="宋体" w:eastAsia="宋体" w:cs="宋体"/>
                <w:sz w:val="21"/>
                <w:szCs w:val="21"/>
              </w:rPr>
            </w:pPr>
            <w:r>
              <w:rPr>
                <w:rFonts w:hint="eastAsia" w:ascii="宋体" w:hAnsi="宋体" w:eastAsia="宋体" w:cs="宋体"/>
                <w:sz w:val="21"/>
                <w:szCs w:val="21"/>
              </w:rPr>
              <w:t>21</w:t>
            </w:r>
          </w:p>
        </w:tc>
        <w:tc>
          <w:tcPr>
            <w:tcW w:w="1314" w:type="dxa"/>
            <w:tcBorders>
              <w:top w:val="single" w:color="auto" w:sz="4" w:space="0"/>
              <w:left w:val="single" w:color="auto" w:sz="4" w:space="0"/>
              <w:bottom w:val="single" w:color="auto" w:sz="4" w:space="0"/>
              <w:right w:val="single" w:color="auto" w:sz="4" w:space="0"/>
            </w:tcBorders>
            <w:vAlign w:val="center"/>
          </w:tcPr>
          <w:p w14:paraId="4D1843DB">
            <w:pPr>
              <w:widowControl/>
              <w:spacing w:line="320" w:lineRule="exact"/>
              <w:textAlignment w:val="center"/>
              <w:rPr>
                <w:rFonts w:ascii="宋体" w:hAnsi="宋体" w:eastAsia="宋体" w:cs="宋体"/>
                <w:sz w:val="21"/>
                <w:szCs w:val="21"/>
              </w:rPr>
            </w:pPr>
            <w:r>
              <w:rPr>
                <w:rFonts w:hint="eastAsia" w:ascii="宋体" w:hAnsi="宋体" w:eastAsia="宋体" w:cs="宋体"/>
                <w:kern w:val="0"/>
                <w:sz w:val="21"/>
                <w:szCs w:val="21"/>
              </w:rPr>
              <w:t>协助开展自然灾害救助工作</w:t>
            </w:r>
          </w:p>
        </w:tc>
        <w:tc>
          <w:tcPr>
            <w:tcW w:w="1802" w:type="dxa"/>
            <w:tcBorders>
              <w:top w:val="single" w:color="auto" w:sz="4" w:space="0"/>
              <w:left w:val="single" w:color="auto" w:sz="4" w:space="0"/>
              <w:bottom w:val="single" w:color="auto" w:sz="4" w:space="0"/>
              <w:right w:val="single" w:color="auto" w:sz="4" w:space="0"/>
            </w:tcBorders>
            <w:vAlign w:val="center"/>
          </w:tcPr>
          <w:p w14:paraId="356D7C97">
            <w:pPr>
              <w:widowControl/>
              <w:spacing w:line="320" w:lineRule="exact"/>
              <w:jc w:val="left"/>
              <w:textAlignment w:val="center"/>
              <w:rPr>
                <w:rFonts w:ascii="宋体" w:hAnsi="宋体" w:eastAsia="宋体" w:cs="宋体"/>
                <w:sz w:val="21"/>
                <w:szCs w:val="21"/>
              </w:rPr>
            </w:pPr>
            <w:r>
              <w:rPr>
                <w:rFonts w:hint="eastAsia" w:ascii="宋体" w:hAnsi="宋体" w:eastAsia="宋体" w:cs="宋体"/>
                <w:kern w:val="0"/>
                <w:sz w:val="21"/>
                <w:szCs w:val="21"/>
              </w:rPr>
              <w:t>协助做好自然灾害信息报送工作；提名、评议居民住房恢复重建补助对象；公布救助对象及其接受救助款物数额和使用情况。</w:t>
            </w:r>
          </w:p>
        </w:tc>
        <w:tc>
          <w:tcPr>
            <w:tcW w:w="7846" w:type="dxa"/>
            <w:tcBorders>
              <w:top w:val="single" w:color="auto" w:sz="4" w:space="0"/>
              <w:left w:val="single" w:color="auto" w:sz="4" w:space="0"/>
              <w:bottom w:val="single" w:color="auto" w:sz="4" w:space="0"/>
              <w:right w:val="single" w:color="auto" w:sz="4" w:space="0"/>
            </w:tcBorders>
            <w:vAlign w:val="center"/>
          </w:tcPr>
          <w:p w14:paraId="508EC5AB">
            <w:pPr>
              <w:spacing w:line="300" w:lineRule="exact"/>
              <w:rPr>
                <w:rFonts w:ascii="宋体" w:hAnsi="宋体" w:eastAsia="宋体" w:cs="宋体"/>
                <w:b/>
                <w:sz w:val="21"/>
                <w:szCs w:val="21"/>
              </w:rPr>
            </w:pPr>
            <w:r>
              <w:rPr>
                <w:rFonts w:hint="eastAsia" w:ascii="宋体" w:hAnsi="宋体" w:eastAsia="宋体" w:cs="宋体"/>
                <w:b/>
                <w:sz w:val="21"/>
                <w:szCs w:val="21"/>
              </w:rPr>
              <w:t>灾害信息报送：</w:t>
            </w:r>
          </w:p>
          <w:p w14:paraId="2BD43D7B">
            <w:pPr>
              <w:spacing w:line="300" w:lineRule="exact"/>
              <w:rPr>
                <w:rFonts w:ascii="宋体" w:hAnsi="宋体" w:eastAsia="宋体" w:cs="宋体"/>
                <w:bCs/>
                <w:sz w:val="21"/>
                <w:szCs w:val="21"/>
              </w:rPr>
            </w:pPr>
            <w:r>
              <w:rPr>
                <w:rFonts w:hint="eastAsia" w:ascii="宋体" w:hAnsi="宋体" w:eastAsia="宋体" w:cs="宋体"/>
                <w:bCs/>
                <w:sz w:val="21"/>
                <w:szCs w:val="21"/>
              </w:rPr>
              <w:t>1.调查灾害情况。自然灾害发生后，村（社区）灾害信息员第一时间赶赴灾害现场或通过电话、QQ等渠道调查了解灾害损失情况，并报告乡镇政府（街道办事处）。</w:t>
            </w:r>
          </w:p>
          <w:p w14:paraId="1DCB8035">
            <w:pPr>
              <w:spacing w:line="300" w:lineRule="exact"/>
              <w:rPr>
                <w:rFonts w:ascii="宋体" w:hAnsi="宋体" w:eastAsia="宋体" w:cs="宋体"/>
                <w:bCs/>
                <w:sz w:val="21"/>
                <w:szCs w:val="21"/>
              </w:rPr>
            </w:pPr>
            <w:r>
              <w:rPr>
                <w:rFonts w:hint="eastAsia" w:ascii="宋体" w:hAnsi="宋体" w:eastAsia="宋体" w:cs="宋体"/>
                <w:bCs/>
                <w:sz w:val="21"/>
                <w:szCs w:val="21"/>
              </w:rPr>
              <w:t>2.报送灾情信息。村（社区）灾害信息员通过村级报灾APP或电话、QQ等渠道向乡镇政府（街道办事处）报送自然灾害灾情信息。</w:t>
            </w:r>
          </w:p>
          <w:p w14:paraId="7B6952F3">
            <w:pPr>
              <w:spacing w:line="300" w:lineRule="exact"/>
              <w:rPr>
                <w:rFonts w:ascii="宋体" w:hAnsi="宋体" w:eastAsia="宋体" w:cs="宋体"/>
                <w:bCs/>
                <w:sz w:val="21"/>
                <w:szCs w:val="21"/>
              </w:rPr>
            </w:pPr>
            <w:r>
              <w:rPr>
                <w:rFonts w:hint="eastAsia" w:ascii="宋体" w:hAnsi="宋体" w:eastAsia="宋体" w:cs="宋体"/>
                <w:bCs/>
                <w:sz w:val="21"/>
                <w:szCs w:val="21"/>
              </w:rPr>
              <w:t>3.评估灾害损失。灾情稳定后，村（社区）灾害信息员协助乡镇政府（街道办事处）全面评估本村（社区）范围内自然灾害损失情况。</w:t>
            </w:r>
          </w:p>
          <w:p w14:paraId="09CA16C0">
            <w:pPr>
              <w:pStyle w:val="2"/>
              <w:spacing w:before="0" w:after="0" w:line="300" w:lineRule="exact"/>
              <w:rPr>
                <w:rFonts w:ascii="宋体" w:hAnsi="宋体" w:eastAsia="宋体" w:cs="宋体"/>
                <w:sz w:val="21"/>
                <w:szCs w:val="21"/>
              </w:rPr>
            </w:pPr>
            <w:r>
              <w:rPr>
                <w:rFonts w:hint="eastAsia" w:ascii="宋体" w:hAnsi="宋体" w:eastAsia="宋体" w:cs="宋体"/>
                <w:sz w:val="21"/>
                <w:szCs w:val="21"/>
              </w:rPr>
              <w:t>救助对象补助：</w:t>
            </w:r>
          </w:p>
          <w:p w14:paraId="18496A2A">
            <w:pPr>
              <w:spacing w:line="300" w:lineRule="exact"/>
              <w:rPr>
                <w:rFonts w:ascii="宋体" w:hAnsi="宋体" w:eastAsia="宋体" w:cs="宋体"/>
                <w:bCs/>
                <w:sz w:val="21"/>
                <w:szCs w:val="21"/>
              </w:rPr>
            </w:pPr>
            <w:r>
              <w:rPr>
                <w:rFonts w:hint="eastAsia" w:ascii="宋体" w:hAnsi="宋体" w:eastAsia="宋体" w:cs="宋体"/>
                <w:bCs/>
                <w:sz w:val="21"/>
                <w:szCs w:val="21"/>
              </w:rPr>
              <w:t>1.开展调查摸底。村（社区）要认真调查、全面掌握辖区内受灾群众因灾倒房、家庭困难等实际情况，并登记造册。</w:t>
            </w:r>
          </w:p>
          <w:p w14:paraId="6680E72F">
            <w:pPr>
              <w:spacing w:line="300" w:lineRule="exact"/>
              <w:rPr>
                <w:rFonts w:ascii="宋体" w:hAnsi="宋体" w:eastAsia="宋体" w:cs="宋体"/>
                <w:bCs/>
                <w:sz w:val="21"/>
                <w:szCs w:val="21"/>
              </w:rPr>
            </w:pPr>
            <w:r>
              <w:rPr>
                <w:rFonts w:hint="eastAsia" w:ascii="宋体" w:hAnsi="宋体" w:eastAsia="宋体" w:cs="宋体"/>
                <w:bCs/>
                <w:sz w:val="21"/>
                <w:szCs w:val="21"/>
              </w:rPr>
              <w:t>2.提出救助申请。受灾群众向村（社区）提出书面申请，注明家庭基本情况、灾害损失情况、住房倒损情况和需要解决的困难；本人因特殊原因不能申请的，由村（社区）小组提名。</w:t>
            </w:r>
          </w:p>
          <w:p w14:paraId="1A2AF618">
            <w:pPr>
              <w:spacing w:line="300" w:lineRule="exact"/>
              <w:rPr>
                <w:rFonts w:ascii="宋体" w:hAnsi="宋体" w:eastAsia="宋体" w:cs="宋体"/>
                <w:bCs/>
                <w:sz w:val="21"/>
                <w:szCs w:val="21"/>
              </w:rPr>
            </w:pPr>
            <w:r>
              <w:rPr>
                <w:rFonts w:hint="eastAsia" w:ascii="宋体" w:hAnsi="宋体" w:eastAsia="宋体" w:cs="宋体"/>
                <w:bCs/>
                <w:sz w:val="21"/>
                <w:szCs w:val="21"/>
              </w:rPr>
              <w:t>3.开展民主评议。由村（社区）委员会成员、村（社区）居民代表、受灾人员代表共同组成民主评议小组，对受灾群众需救助情况进行民主评议。</w:t>
            </w:r>
          </w:p>
          <w:p w14:paraId="10306707">
            <w:pPr>
              <w:spacing w:line="300" w:lineRule="exact"/>
              <w:rPr>
                <w:rFonts w:ascii="宋体" w:hAnsi="宋体" w:eastAsia="宋体" w:cs="宋体"/>
                <w:sz w:val="21"/>
                <w:szCs w:val="21"/>
              </w:rPr>
            </w:pPr>
            <w:r>
              <w:rPr>
                <w:rFonts w:hint="eastAsia" w:ascii="宋体" w:hAnsi="宋体" w:eastAsia="宋体" w:cs="宋体"/>
                <w:bCs/>
                <w:sz w:val="21"/>
                <w:szCs w:val="21"/>
              </w:rPr>
              <w:t>4.进行张榜公示。经民主评议，符合救助条件的，在村（社区）范围内公示；公示后无异议或经村（社区）民主评议异议不成立的，由村（社区）将评议意见和有关材料提交乡镇政府（街道办事处）审核。</w:t>
            </w:r>
          </w:p>
        </w:tc>
        <w:tc>
          <w:tcPr>
            <w:tcW w:w="1404" w:type="dxa"/>
            <w:tcBorders>
              <w:top w:val="single" w:color="auto" w:sz="4" w:space="0"/>
              <w:left w:val="single" w:color="auto" w:sz="4" w:space="0"/>
              <w:bottom w:val="single" w:color="auto" w:sz="4" w:space="0"/>
              <w:right w:val="single" w:color="auto" w:sz="4" w:space="0"/>
            </w:tcBorders>
            <w:vAlign w:val="center"/>
          </w:tcPr>
          <w:p w14:paraId="45E26CAC">
            <w:pPr>
              <w:spacing w:line="320" w:lineRule="exact"/>
              <w:jc w:val="left"/>
              <w:rPr>
                <w:rFonts w:ascii="宋体" w:hAnsi="宋体" w:eastAsia="宋体" w:cs="宋体"/>
                <w:sz w:val="21"/>
                <w:szCs w:val="21"/>
              </w:rPr>
            </w:pPr>
            <w:r>
              <w:rPr>
                <w:rFonts w:hint="eastAsia" w:ascii="宋体" w:hAnsi="宋体" w:eastAsia="宋体" w:cs="宋体"/>
                <w:sz w:val="21"/>
                <w:szCs w:val="21"/>
              </w:rPr>
              <w:t>《中华人民共和国突发事件应对法》第三十八条</w:t>
            </w:r>
          </w:p>
          <w:p w14:paraId="61EE65C9">
            <w:pPr>
              <w:spacing w:line="320" w:lineRule="exact"/>
              <w:jc w:val="left"/>
              <w:rPr>
                <w:rFonts w:ascii="宋体" w:hAnsi="宋体" w:eastAsia="宋体" w:cs="宋体"/>
                <w:sz w:val="21"/>
                <w:szCs w:val="21"/>
              </w:rPr>
            </w:pPr>
            <w:r>
              <w:rPr>
                <w:rFonts w:hint="eastAsia" w:ascii="宋体" w:hAnsi="宋体" w:eastAsia="宋体" w:cs="宋体"/>
                <w:sz w:val="21"/>
                <w:szCs w:val="21"/>
              </w:rPr>
              <w:t>《自然灾害救助条例》第五条、第六条第二款、第十二条、第二十条、第二十六条第二款</w:t>
            </w:r>
          </w:p>
        </w:tc>
        <w:tc>
          <w:tcPr>
            <w:tcW w:w="900" w:type="dxa"/>
            <w:tcBorders>
              <w:top w:val="single" w:color="auto" w:sz="4" w:space="0"/>
              <w:left w:val="single" w:color="auto" w:sz="4" w:space="0"/>
              <w:bottom w:val="single" w:color="auto" w:sz="4" w:space="0"/>
              <w:right w:val="single" w:color="auto" w:sz="4" w:space="0"/>
            </w:tcBorders>
            <w:vAlign w:val="center"/>
          </w:tcPr>
          <w:p w14:paraId="56958780">
            <w:pPr>
              <w:spacing w:line="320" w:lineRule="exact"/>
              <w:jc w:val="left"/>
              <w:rPr>
                <w:rFonts w:ascii="宋体" w:hAnsi="宋体" w:eastAsia="宋体" w:cs="宋体"/>
                <w:sz w:val="21"/>
                <w:szCs w:val="21"/>
              </w:rPr>
            </w:pPr>
            <w:r>
              <w:rPr>
                <w:rFonts w:hint="eastAsia" w:ascii="宋体" w:hAnsi="宋体" w:eastAsia="宋体" w:cs="宋体"/>
                <w:sz w:val="21"/>
                <w:szCs w:val="21"/>
              </w:rPr>
              <w:t>应急管理部门</w:t>
            </w:r>
          </w:p>
        </w:tc>
        <w:tc>
          <w:tcPr>
            <w:tcW w:w="686" w:type="dxa"/>
            <w:tcBorders>
              <w:top w:val="single" w:color="auto" w:sz="4" w:space="0"/>
              <w:left w:val="single" w:color="auto" w:sz="4" w:space="0"/>
              <w:bottom w:val="single" w:color="auto" w:sz="4" w:space="0"/>
              <w:right w:val="single" w:color="auto" w:sz="4" w:space="0"/>
            </w:tcBorders>
            <w:vAlign w:val="center"/>
          </w:tcPr>
          <w:p w14:paraId="7D41A6F6">
            <w:pPr>
              <w:spacing w:line="320" w:lineRule="exact"/>
              <w:rPr>
                <w:rFonts w:ascii="宋体" w:hAnsi="宋体" w:eastAsia="宋体" w:cs="宋体"/>
                <w:sz w:val="21"/>
                <w:szCs w:val="21"/>
              </w:rPr>
            </w:pPr>
          </w:p>
        </w:tc>
      </w:tr>
      <w:tr w14:paraId="5E61192D">
        <w:tblPrEx>
          <w:tblCellMar>
            <w:top w:w="15" w:type="dxa"/>
            <w:left w:w="15" w:type="dxa"/>
            <w:bottom w:w="15" w:type="dxa"/>
            <w:right w:w="15" w:type="dxa"/>
          </w:tblCellMar>
        </w:tblPrEx>
        <w:trPr>
          <w:trHeight w:val="6653" w:hRule="atLeast"/>
          <w:jc w:val="center"/>
        </w:trPr>
        <w:tc>
          <w:tcPr>
            <w:tcW w:w="808" w:type="dxa"/>
            <w:tcBorders>
              <w:top w:val="single" w:color="auto" w:sz="4" w:space="0"/>
              <w:left w:val="single" w:color="auto" w:sz="4" w:space="0"/>
              <w:bottom w:val="single" w:color="auto" w:sz="4" w:space="0"/>
              <w:right w:val="single" w:color="auto" w:sz="4" w:space="0"/>
            </w:tcBorders>
            <w:vAlign w:val="center"/>
          </w:tcPr>
          <w:p w14:paraId="03C26C92">
            <w:pPr>
              <w:spacing w:line="320" w:lineRule="exact"/>
              <w:jc w:val="center"/>
              <w:rPr>
                <w:rFonts w:ascii="宋体" w:hAnsi="宋体" w:eastAsia="宋体" w:cs="宋体"/>
                <w:sz w:val="21"/>
                <w:szCs w:val="21"/>
              </w:rPr>
            </w:pPr>
            <w:r>
              <w:rPr>
                <w:rFonts w:hint="eastAsia" w:ascii="宋体" w:hAnsi="宋体" w:eastAsia="宋体" w:cs="宋体"/>
                <w:sz w:val="21"/>
                <w:szCs w:val="21"/>
              </w:rPr>
              <w:t>22</w:t>
            </w:r>
          </w:p>
        </w:tc>
        <w:tc>
          <w:tcPr>
            <w:tcW w:w="1314" w:type="dxa"/>
            <w:tcBorders>
              <w:top w:val="single" w:color="auto" w:sz="4" w:space="0"/>
              <w:left w:val="single" w:color="auto" w:sz="4" w:space="0"/>
              <w:bottom w:val="single" w:color="auto" w:sz="4" w:space="0"/>
              <w:right w:val="single" w:color="auto" w:sz="4" w:space="0"/>
            </w:tcBorders>
            <w:vAlign w:val="center"/>
          </w:tcPr>
          <w:p w14:paraId="48332405">
            <w:pPr>
              <w:widowControl/>
              <w:spacing w:line="320" w:lineRule="exact"/>
              <w:textAlignment w:val="center"/>
              <w:rPr>
                <w:rFonts w:ascii="宋体" w:hAnsi="宋体" w:eastAsia="宋体" w:cs="宋体"/>
                <w:sz w:val="21"/>
                <w:szCs w:val="21"/>
              </w:rPr>
            </w:pPr>
            <w:r>
              <w:rPr>
                <w:rFonts w:hint="eastAsia" w:ascii="宋体" w:hAnsi="宋体" w:eastAsia="宋体" w:cs="宋体"/>
                <w:kern w:val="0"/>
                <w:sz w:val="21"/>
                <w:szCs w:val="21"/>
              </w:rPr>
              <w:t>协助开展突发事件应对工作</w:t>
            </w:r>
          </w:p>
        </w:tc>
        <w:tc>
          <w:tcPr>
            <w:tcW w:w="1802" w:type="dxa"/>
            <w:tcBorders>
              <w:top w:val="single" w:color="auto" w:sz="4" w:space="0"/>
              <w:left w:val="single" w:color="auto" w:sz="4" w:space="0"/>
              <w:bottom w:val="single" w:color="auto" w:sz="4" w:space="0"/>
              <w:right w:val="single" w:color="auto" w:sz="4" w:space="0"/>
            </w:tcBorders>
            <w:vAlign w:val="center"/>
          </w:tcPr>
          <w:p w14:paraId="0BCF200B">
            <w:pPr>
              <w:widowControl/>
              <w:spacing w:line="320" w:lineRule="exact"/>
              <w:jc w:val="left"/>
              <w:textAlignment w:val="center"/>
              <w:rPr>
                <w:rFonts w:ascii="宋体" w:hAnsi="宋体" w:eastAsia="宋体" w:cs="宋体"/>
                <w:sz w:val="21"/>
                <w:szCs w:val="21"/>
              </w:rPr>
            </w:pPr>
            <w:r>
              <w:rPr>
                <w:rFonts w:hint="eastAsia" w:ascii="宋体" w:hAnsi="宋体" w:eastAsia="宋体" w:cs="宋体"/>
                <w:kern w:val="0"/>
                <w:sz w:val="21"/>
                <w:szCs w:val="21"/>
              </w:rPr>
              <w:t>协助开展应急知识的宣传普及活动和必要的应急演练；突发事件发生后，协助进行宣传动员，报送突发事件信息，组织群众开展自救和互救，维护社会秩序。</w:t>
            </w:r>
          </w:p>
        </w:tc>
        <w:tc>
          <w:tcPr>
            <w:tcW w:w="7846" w:type="dxa"/>
            <w:tcBorders>
              <w:top w:val="single" w:color="auto" w:sz="4" w:space="0"/>
              <w:left w:val="single" w:color="auto" w:sz="4" w:space="0"/>
              <w:bottom w:val="single" w:color="auto" w:sz="4" w:space="0"/>
              <w:right w:val="single" w:color="auto" w:sz="4" w:space="0"/>
            </w:tcBorders>
            <w:vAlign w:val="center"/>
          </w:tcPr>
          <w:p w14:paraId="7F7AC425">
            <w:pPr>
              <w:spacing w:line="320" w:lineRule="exact"/>
              <w:jc w:val="left"/>
              <w:rPr>
                <w:rFonts w:ascii="宋体" w:hAnsi="宋体" w:eastAsia="宋体" w:cs="宋体"/>
                <w:sz w:val="21"/>
                <w:szCs w:val="21"/>
              </w:rPr>
            </w:pPr>
            <w:r>
              <w:rPr>
                <w:rFonts w:hint="eastAsia" w:ascii="宋体" w:hAnsi="宋体" w:eastAsia="宋体" w:cs="宋体"/>
                <w:sz w:val="21"/>
                <w:szCs w:val="21"/>
              </w:rPr>
              <w:t>1.开展宣传演练。</w:t>
            </w:r>
          </w:p>
          <w:p w14:paraId="2A218469">
            <w:pPr>
              <w:spacing w:line="320" w:lineRule="exact"/>
              <w:jc w:val="left"/>
              <w:rPr>
                <w:rFonts w:ascii="宋体" w:hAnsi="宋体" w:eastAsia="宋体" w:cs="宋体"/>
                <w:sz w:val="21"/>
                <w:szCs w:val="21"/>
              </w:rPr>
            </w:pPr>
            <w:r>
              <w:rPr>
                <w:rFonts w:hint="eastAsia" w:ascii="宋体" w:hAnsi="宋体" w:eastAsia="宋体" w:cs="宋体"/>
                <w:sz w:val="21"/>
                <w:szCs w:val="21"/>
              </w:rPr>
              <w:t>①协助乡镇政府（街道办事处）做好居民的应急宣教和告知工作，普及防灾、避险等知识，增强村（社区）居民和辖区单位的安全意识，提高公众的抢险、避险、自救能力。</w:t>
            </w:r>
          </w:p>
          <w:p w14:paraId="21F35D67">
            <w:pPr>
              <w:spacing w:line="320" w:lineRule="exact"/>
              <w:jc w:val="left"/>
              <w:rPr>
                <w:rFonts w:ascii="宋体" w:hAnsi="宋体" w:eastAsia="宋体" w:cs="宋体"/>
                <w:sz w:val="21"/>
                <w:szCs w:val="21"/>
              </w:rPr>
            </w:pPr>
            <w:r>
              <w:rPr>
                <w:rFonts w:hint="eastAsia" w:ascii="宋体" w:hAnsi="宋体" w:eastAsia="宋体" w:cs="宋体"/>
                <w:sz w:val="21"/>
                <w:szCs w:val="21"/>
              </w:rPr>
              <w:t>②在乡镇政府（街道办事处）指导下，组织开展初期火灾扑救、院前急救、人员紧急疏散等演练培训。</w:t>
            </w:r>
          </w:p>
          <w:p w14:paraId="28159820">
            <w:pPr>
              <w:spacing w:line="320" w:lineRule="exact"/>
              <w:jc w:val="left"/>
              <w:rPr>
                <w:rFonts w:ascii="宋体" w:hAnsi="宋体" w:eastAsia="宋体" w:cs="宋体"/>
                <w:sz w:val="21"/>
                <w:szCs w:val="21"/>
              </w:rPr>
            </w:pPr>
            <w:r>
              <w:rPr>
                <w:rFonts w:hint="eastAsia" w:ascii="宋体" w:hAnsi="宋体" w:eastAsia="宋体" w:cs="宋体"/>
                <w:sz w:val="21"/>
                <w:szCs w:val="21"/>
              </w:rPr>
              <w:t>③做好应急救援站（微型消防站）管理等工作。</w:t>
            </w:r>
          </w:p>
          <w:p w14:paraId="3434167A">
            <w:pPr>
              <w:spacing w:line="320" w:lineRule="exact"/>
              <w:jc w:val="left"/>
              <w:rPr>
                <w:rFonts w:ascii="宋体" w:hAnsi="宋体" w:eastAsia="宋体" w:cs="宋体"/>
                <w:sz w:val="21"/>
                <w:szCs w:val="21"/>
              </w:rPr>
            </w:pPr>
            <w:r>
              <w:rPr>
                <w:rFonts w:hint="eastAsia" w:ascii="宋体" w:hAnsi="宋体" w:eastAsia="宋体" w:cs="宋体"/>
                <w:sz w:val="21"/>
                <w:szCs w:val="21"/>
              </w:rPr>
              <w:t>2.开展信息报送。</w:t>
            </w:r>
          </w:p>
          <w:p w14:paraId="713A4672">
            <w:pPr>
              <w:spacing w:line="320" w:lineRule="exact"/>
              <w:jc w:val="left"/>
              <w:rPr>
                <w:rFonts w:ascii="宋体" w:hAnsi="宋体" w:eastAsia="宋体" w:cs="宋体"/>
                <w:sz w:val="21"/>
                <w:szCs w:val="21"/>
              </w:rPr>
            </w:pPr>
            <w:r>
              <w:rPr>
                <w:rFonts w:hint="eastAsia" w:ascii="宋体" w:hAnsi="宋体" w:eastAsia="宋体" w:cs="宋体"/>
                <w:sz w:val="21"/>
                <w:szCs w:val="21"/>
              </w:rPr>
              <w:t>①接到报告后，根据情况迅速通报辖区有关单位，及时弄清事件的详细情况，并立即将信息报送到乡镇政府（街道办事处）。</w:t>
            </w:r>
          </w:p>
          <w:p w14:paraId="1A714754">
            <w:pPr>
              <w:spacing w:line="320" w:lineRule="exact"/>
              <w:jc w:val="left"/>
              <w:rPr>
                <w:rFonts w:ascii="宋体" w:hAnsi="宋体" w:eastAsia="宋体" w:cs="宋体"/>
                <w:sz w:val="21"/>
                <w:szCs w:val="21"/>
              </w:rPr>
            </w:pPr>
            <w:r>
              <w:rPr>
                <w:rFonts w:hint="eastAsia" w:ascii="宋体" w:hAnsi="宋体" w:eastAsia="宋体" w:cs="宋体"/>
                <w:sz w:val="21"/>
                <w:szCs w:val="21"/>
              </w:rPr>
              <w:t>②必要时，24小时轮流值守，接收、传递和上报信息，保持与应急工作组、上级部门信息畅通。</w:t>
            </w:r>
          </w:p>
          <w:p w14:paraId="2F0730FB">
            <w:pPr>
              <w:spacing w:line="320" w:lineRule="exact"/>
              <w:jc w:val="left"/>
              <w:rPr>
                <w:rFonts w:ascii="宋体" w:hAnsi="宋体" w:eastAsia="宋体" w:cs="宋体"/>
                <w:sz w:val="21"/>
                <w:szCs w:val="21"/>
              </w:rPr>
            </w:pPr>
            <w:r>
              <w:rPr>
                <w:rFonts w:hint="eastAsia" w:ascii="宋体" w:hAnsi="宋体" w:eastAsia="宋体" w:cs="宋体"/>
                <w:sz w:val="21"/>
                <w:szCs w:val="21"/>
              </w:rPr>
              <w:t>3.开展先期处置。</w:t>
            </w:r>
          </w:p>
          <w:p w14:paraId="5102BEA4">
            <w:pPr>
              <w:spacing w:line="320" w:lineRule="exact"/>
              <w:jc w:val="left"/>
              <w:rPr>
                <w:rFonts w:ascii="宋体" w:hAnsi="宋体" w:eastAsia="宋体" w:cs="宋体"/>
                <w:sz w:val="21"/>
                <w:szCs w:val="21"/>
              </w:rPr>
            </w:pPr>
            <w:r>
              <w:rPr>
                <w:rFonts w:hint="eastAsia" w:ascii="宋体" w:hAnsi="宋体" w:eastAsia="宋体" w:cs="宋体"/>
                <w:sz w:val="21"/>
                <w:szCs w:val="21"/>
              </w:rPr>
              <w:t>①收到预警信息，本辖区可能或已发生突发事件后，采取广播通知、电话、逐户告知等形式，提醒居民立即采取相应避险措施。</w:t>
            </w:r>
          </w:p>
          <w:p w14:paraId="558992A3">
            <w:pPr>
              <w:spacing w:line="320" w:lineRule="exact"/>
              <w:jc w:val="left"/>
              <w:rPr>
                <w:rFonts w:ascii="宋体" w:hAnsi="宋体" w:eastAsia="宋体" w:cs="宋体"/>
                <w:sz w:val="21"/>
                <w:szCs w:val="21"/>
              </w:rPr>
            </w:pPr>
            <w:r>
              <w:rPr>
                <w:rFonts w:hint="eastAsia" w:ascii="宋体" w:hAnsi="宋体" w:eastAsia="宋体" w:cs="宋体"/>
                <w:sz w:val="21"/>
                <w:szCs w:val="21"/>
              </w:rPr>
              <w:t>②组织人员和财产转移，引导居民疏散到安全地点。设置警戒区域，维护现场秩序，疏通道路交通，引导救援车辆。</w:t>
            </w:r>
          </w:p>
          <w:p w14:paraId="2252DF6D">
            <w:pPr>
              <w:spacing w:line="320" w:lineRule="exact"/>
              <w:jc w:val="left"/>
              <w:rPr>
                <w:rFonts w:ascii="宋体" w:hAnsi="宋体" w:eastAsia="宋体" w:cs="宋体"/>
                <w:sz w:val="21"/>
                <w:szCs w:val="21"/>
              </w:rPr>
            </w:pPr>
            <w:r>
              <w:rPr>
                <w:rFonts w:hint="eastAsia" w:ascii="宋体" w:hAnsi="宋体" w:eastAsia="宋体" w:cs="宋体"/>
                <w:sz w:val="21"/>
                <w:szCs w:val="21"/>
              </w:rPr>
              <w:t>③与本村（社区）医疗服务站及时沟通，做好医疗救助准备工作。</w:t>
            </w:r>
          </w:p>
          <w:p w14:paraId="4ADCEA6A">
            <w:pPr>
              <w:spacing w:line="320" w:lineRule="exact"/>
              <w:rPr>
                <w:rFonts w:ascii="宋体" w:hAnsi="宋体" w:eastAsia="宋体" w:cs="宋体"/>
                <w:sz w:val="21"/>
                <w:szCs w:val="21"/>
              </w:rPr>
            </w:pPr>
            <w:r>
              <w:rPr>
                <w:rFonts w:hint="eastAsia" w:ascii="宋体" w:hAnsi="宋体" w:eastAsia="宋体" w:cs="宋体"/>
                <w:sz w:val="21"/>
                <w:szCs w:val="21"/>
              </w:rPr>
              <w:t>④配合应急救援队伍做好各项保障，协助有关方面做好善后处置、物资发放等工作。</w:t>
            </w:r>
          </w:p>
        </w:tc>
        <w:tc>
          <w:tcPr>
            <w:tcW w:w="1404" w:type="dxa"/>
            <w:tcBorders>
              <w:top w:val="single" w:color="auto" w:sz="4" w:space="0"/>
              <w:left w:val="single" w:color="auto" w:sz="4" w:space="0"/>
              <w:bottom w:val="single" w:color="auto" w:sz="4" w:space="0"/>
              <w:right w:val="single" w:color="auto" w:sz="4" w:space="0"/>
            </w:tcBorders>
            <w:vAlign w:val="center"/>
          </w:tcPr>
          <w:p w14:paraId="3B5E6952">
            <w:pPr>
              <w:spacing w:line="320" w:lineRule="exact"/>
              <w:jc w:val="left"/>
              <w:rPr>
                <w:rFonts w:ascii="宋体" w:hAnsi="宋体" w:eastAsia="宋体" w:cs="宋体"/>
                <w:sz w:val="21"/>
                <w:szCs w:val="21"/>
              </w:rPr>
            </w:pPr>
            <w:r>
              <w:rPr>
                <w:rFonts w:hint="eastAsia" w:ascii="宋体" w:hAnsi="宋体" w:eastAsia="宋体" w:cs="宋体"/>
                <w:sz w:val="21"/>
                <w:szCs w:val="21"/>
              </w:rPr>
              <w:t>《中华人民共和国突发事件应对法》第二十九条第二款、第三十八条第二款、第五十五条</w:t>
            </w:r>
          </w:p>
        </w:tc>
        <w:tc>
          <w:tcPr>
            <w:tcW w:w="900" w:type="dxa"/>
            <w:tcBorders>
              <w:top w:val="single" w:color="auto" w:sz="4" w:space="0"/>
              <w:left w:val="single" w:color="auto" w:sz="4" w:space="0"/>
              <w:bottom w:val="single" w:color="auto" w:sz="4" w:space="0"/>
              <w:right w:val="single" w:color="auto" w:sz="4" w:space="0"/>
            </w:tcBorders>
            <w:vAlign w:val="center"/>
          </w:tcPr>
          <w:p w14:paraId="3570A589">
            <w:pPr>
              <w:spacing w:line="320" w:lineRule="exact"/>
              <w:jc w:val="left"/>
              <w:rPr>
                <w:rFonts w:ascii="宋体" w:hAnsi="宋体" w:eastAsia="宋体" w:cs="宋体"/>
                <w:sz w:val="21"/>
                <w:szCs w:val="21"/>
              </w:rPr>
            </w:pPr>
            <w:r>
              <w:rPr>
                <w:rFonts w:hint="eastAsia" w:ascii="宋体" w:hAnsi="宋体" w:eastAsia="宋体" w:cs="宋体"/>
                <w:sz w:val="21"/>
                <w:szCs w:val="21"/>
              </w:rPr>
              <w:t>应急管理部门</w:t>
            </w:r>
          </w:p>
        </w:tc>
        <w:tc>
          <w:tcPr>
            <w:tcW w:w="686" w:type="dxa"/>
            <w:tcBorders>
              <w:top w:val="single" w:color="auto" w:sz="4" w:space="0"/>
              <w:left w:val="single" w:color="auto" w:sz="4" w:space="0"/>
              <w:bottom w:val="single" w:color="auto" w:sz="4" w:space="0"/>
              <w:right w:val="single" w:color="auto" w:sz="4" w:space="0"/>
            </w:tcBorders>
            <w:vAlign w:val="center"/>
          </w:tcPr>
          <w:p w14:paraId="49AFD082">
            <w:pPr>
              <w:spacing w:line="320" w:lineRule="exact"/>
              <w:rPr>
                <w:rFonts w:ascii="宋体" w:hAnsi="宋体" w:eastAsia="宋体" w:cs="宋体"/>
                <w:sz w:val="21"/>
                <w:szCs w:val="21"/>
              </w:rPr>
            </w:pPr>
          </w:p>
        </w:tc>
      </w:tr>
      <w:tr w14:paraId="60C26B73">
        <w:tblPrEx>
          <w:tblCellMar>
            <w:top w:w="15" w:type="dxa"/>
            <w:left w:w="15" w:type="dxa"/>
            <w:bottom w:w="15" w:type="dxa"/>
            <w:right w:w="15" w:type="dxa"/>
          </w:tblCellMar>
        </w:tblPrEx>
        <w:trPr>
          <w:trHeight w:val="4397" w:hRule="atLeast"/>
          <w:jc w:val="center"/>
        </w:trPr>
        <w:tc>
          <w:tcPr>
            <w:tcW w:w="808" w:type="dxa"/>
            <w:tcBorders>
              <w:top w:val="single" w:color="auto" w:sz="4" w:space="0"/>
              <w:left w:val="single" w:color="auto" w:sz="4" w:space="0"/>
              <w:bottom w:val="single" w:color="auto" w:sz="4" w:space="0"/>
              <w:right w:val="single" w:color="auto" w:sz="4" w:space="0"/>
            </w:tcBorders>
            <w:vAlign w:val="center"/>
          </w:tcPr>
          <w:p w14:paraId="24C82D12">
            <w:pPr>
              <w:spacing w:line="320" w:lineRule="exact"/>
              <w:jc w:val="center"/>
              <w:rPr>
                <w:rFonts w:hint="eastAsia" w:ascii="宋体" w:hAnsi="宋体" w:eastAsia="宋体" w:cs="宋体"/>
                <w:sz w:val="21"/>
                <w:szCs w:val="21"/>
              </w:rPr>
            </w:pPr>
          </w:p>
          <w:p w14:paraId="130C4565">
            <w:pPr>
              <w:spacing w:line="320" w:lineRule="exact"/>
              <w:jc w:val="center"/>
              <w:rPr>
                <w:rFonts w:hint="eastAsia" w:ascii="宋体" w:hAnsi="宋体" w:eastAsia="宋体" w:cs="宋体"/>
                <w:sz w:val="21"/>
                <w:szCs w:val="21"/>
              </w:rPr>
            </w:pPr>
          </w:p>
          <w:p w14:paraId="430AABBE">
            <w:pPr>
              <w:spacing w:line="320" w:lineRule="exact"/>
              <w:jc w:val="center"/>
              <w:rPr>
                <w:rFonts w:hint="eastAsia" w:ascii="宋体" w:hAnsi="宋体" w:eastAsia="宋体" w:cs="宋体"/>
                <w:sz w:val="21"/>
                <w:szCs w:val="21"/>
              </w:rPr>
            </w:pPr>
          </w:p>
          <w:p w14:paraId="7139156F">
            <w:pPr>
              <w:spacing w:line="320" w:lineRule="exact"/>
              <w:jc w:val="center"/>
              <w:rPr>
                <w:rFonts w:hint="eastAsia" w:ascii="宋体" w:hAnsi="宋体" w:eastAsia="宋体" w:cs="宋体"/>
                <w:sz w:val="21"/>
                <w:szCs w:val="21"/>
              </w:rPr>
            </w:pPr>
          </w:p>
          <w:p w14:paraId="1E443D9B">
            <w:pPr>
              <w:spacing w:line="320" w:lineRule="exact"/>
              <w:jc w:val="center"/>
              <w:rPr>
                <w:rFonts w:hint="eastAsia" w:ascii="宋体" w:hAnsi="宋体" w:eastAsia="宋体" w:cs="宋体"/>
                <w:sz w:val="21"/>
                <w:szCs w:val="21"/>
              </w:rPr>
            </w:pPr>
          </w:p>
          <w:p w14:paraId="39810A43">
            <w:pPr>
              <w:spacing w:line="320" w:lineRule="exact"/>
              <w:jc w:val="center"/>
              <w:rPr>
                <w:rFonts w:hint="eastAsia" w:ascii="宋体" w:hAnsi="宋体" w:eastAsia="宋体" w:cs="宋体"/>
                <w:sz w:val="21"/>
                <w:szCs w:val="21"/>
              </w:rPr>
            </w:pPr>
          </w:p>
          <w:p w14:paraId="36461C0C">
            <w:pPr>
              <w:spacing w:line="320" w:lineRule="exact"/>
              <w:jc w:val="center"/>
              <w:rPr>
                <w:rFonts w:hint="eastAsia" w:ascii="宋体" w:hAnsi="宋体" w:eastAsia="宋体" w:cs="宋体"/>
                <w:sz w:val="21"/>
                <w:szCs w:val="21"/>
              </w:rPr>
            </w:pPr>
          </w:p>
          <w:p w14:paraId="6ADF15FD">
            <w:pPr>
              <w:spacing w:line="320" w:lineRule="exact"/>
              <w:jc w:val="center"/>
              <w:rPr>
                <w:rFonts w:hint="eastAsia" w:ascii="宋体" w:hAnsi="宋体" w:eastAsia="宋体" w:cs="宋体"/>
                <w:sz w:val="21"/>
                <w:szCs w:val="21"/>
              </w:rPr>
            </w:pPr>
          </w:p>
          <w:p w14:paraId="3E2E72A9">
            <w:pPr>
              <w:spacing w:line="320" w:lineRule="exact"/>
              <w:jc w:val="center"/>
              <w:rPr>
                <w:rFonts w:hint="eastAsia" w:ascii="宋体" w:hAnsi="宋体" w:eastAsia="宋体" w:cs="宋体"/>
                <w:sz w:val="21"/>
                <w:szCs w:val="21"/>
              </w:rPr>
            </w:pPr>
          </w:p>
          <w:p w14:paraId="4195F4CE">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23</w:t>
            </w:r>
          </w:p>
          <w:p w14:paraId="3B21F889">
            <w:pPr>
              <w:spacing w:line="320" w:lineRule="exact"/>
              <w:jc w:val="center"/>
              <w:rPr>
                <w:rFonts w:hint="eastAsia" w:ascii="宋体" w:hAnsi="宋体" w:eastAsia="宋体" w:cs="宋体"/>
                <w:sz w:val="21"/>
                <w:szCs w:val="21"/>
              </w:rPr>
            </w:pPr>
          </w:p>
          <w:p w14:paraId="357E5604">
            <w:pPr>
              <w:spacing w:line="320" w:lineRule="exact"/>
              <w:jc w:val="center"/>
              <w:rPr>
                <w:rFonts w:hint="eastAsia" w:ascii="宋体" w:hAnsi="宋体" w:eastAsia="宋体" w:cs="宋体"/>
                <w:sz w:val="21"/>
                <w:szCs w:val="21"/>
              </w:rPr>
            </w:pPr>
          </w:p>
          <w:p w14:paraId="73A2B46F">
            <w:pPr>
              <w:spacing w:line="320" w:lineRule="exact"/>
              <w:jc w:val="center"/>
              <w:rPr>
                <w:rFonts w:hint="eastAsia" w:ascii="宋体" w:hAnsi="宋体" w:eastAsia="宋体" w:cs="宋体"/>
                <w:sz w:val="21"/>
                <w:szCs w:val="21"/>
              </w:rPr>
            </w:pPr>
          </w:p>
          <w:p w14:paraId="42B6530A">
            <w:pPr>
              <w:spacing w:line="320" w:lineRule="exact"/>
              <w:jc w:val="center"/>
              <w:rPr>
                <w:rFonts w:hint="eastAsia" w:ascii="宋体" w:hAnsi="宋体" w:eastAsia="宋体" w:cs="宋体"/>
                <w:sz w:val="21"/>
                <w:szCs w:val="21"/>
              </w:rPr>
            </w:pPr>
          </w:p>
          <w:p w14:paraId="625C2899">
            <w:pPr>
              <w:spacing w:line="320" w:lineRule="exact"/>
              <w:jc w:val="center"/>
              <w:rPr>
                <w:rFonts w:hint="eastAsia" w:ascii="宋体" w:hAnsi="宋体" w:eastAsia="宋体" w:cs="宋体"/>
                <w:sz w:val="21"/>
                <w:szCs w:val="21"/>
              </w:rPr>
            </w:pPr>
          </w:p>
          <w:p w14:paraId="7E1BC4AE">
            <w:pPr>
              <w:spacing w:line="320" w:lineRule="exact"/>
              <w:jc w:val="center"/>
              <w:rPr>
                <w:rFonts w:hint="eastAsia" w:ascii="宋体" w:hAnsi="宋体" w:eastAsia="宋体" w:cs="宋体"/>
                <w:sz w:val="21"/>
                <w:szCs w:val="21"/>
              </w:rPr>
            </w:pPr>
          </w:p>
          <w:p w14:paraId="408CA633">
            <w:pPr>
              <w:spacing w:line="320" w:lineRule="exact"/>
              <w:jc w:val="center"/>
              <w:rPr>
                <w:rFonts w:hint="eastAsia" w:ascii="宋体" w:hAnsi="宋体" w:eastAsia="宋体" w:cs="宋体"/>
                <w:sz w:val="21"/>
                <w:szCs w:val="21"/>
              </w:rPr>
            </w:pPr>
          </w:p>
          <w:p w14:paraId="2DC6A83F">
            <w:pPr>
              <w:spacing w:line="320" w:lineRule="exact"/>
              <w:jc w:val="center"/>
              <w:rPr>
                <w:rFonts w:hint="eastAsia" w:ascii="宋体" w:hAnsi="宋体" w:eastAsia="宋体" w:cs="宋体"/>
                <w:sz w:val="21"/>
                <w:szCs w:val="21"/>
              </w:rPr>
            </w:pPr>
          </w:p>
          <w:p w14:paraId="6AAE283E">
            <w:pPr>
              <w:spacing w:line="320" w:lineRule="exact"/>
              <w:jc w:val="center"/>
              <w:rPr>
                <w:rFonts w:hint="eastAsia" w:ascii="宋体" w:hAnsi="宋体" w:eastAsia="宋体" w:cs="宋体"/>
                <w:sz w:val="21"/>
                <w:szCs w:val="21"/>
              </w:rPr>
            </w:pPr>
          </w:p>
          <w:p w14:paraId="3D2C8A03">
            <w:pPr>
              <w:spacing w:line="320" w:lineRule="exact"/>
              <w:jc w:val="center"/>
              <w:rPr>
                <w:rFonts w:hint="eastAsia" w:ascii="宋体" w:hAnsi="宋体" w:eastAsia="宋体" w:cs="宋体"/>
                <w:sz w:val="21"/>
                <w:szCs w:val="21"/>
              </w:rPr>
            </w:pPr>
          </w:p>
          <w:p w14:paraId="166B373F">
            <w:pPr>
              <w:spacing w:line="320" w:lineRule="exact"/>
              <w:jc w:val="center"/>
              <w:rPr>
                <w:rFonts w:hint="eastAsia" w:ascii="宋体" w:hAnsi="宋体" w:eastAsia="宋体" w:cs="宋体"/>
                <w:sz w:val="21"/>
                <w:szCs w:val="21"/>
              </w:rPr>
            </w:pPr>
          </w:p>
          <w:p w14:paraId="6F5F6F61">
            <w:pPr>
              <w:spacing w:line="320" w:lineRule="exact"/>
              <w:jc w:val="center"/>
              <w:rPr>
                <w:rFonts w:hint="eastAsia" w:ascii="宋体" w:hAnsi="宋体" w:eastAsia="宋体" w:cs="宋体"/>
                <w:sz w:val="21"/>
                <w:szCs w:val="21"/>
              </w:rPr>
            </w:pPr>
          </w:p>
          <w:p w14:paraId="1CD28A86">
            <w:pPr>
              <w:spacing w:line="320" w:lineRule="exact"/>
              <w:jc w:val="center"/>
              <w:rPr>
                <w:rFonts w:hint="eastAsia" w:ascii="宋体" w:hAnsi="宋体" w:eastAsia="宋体" w:cs="宋体"/>
                <w:sz w:val="21"/>
                <w:szCs w:val="21"/>
              </w:rPr>
            </w:pPr>
          </w:p>
          <w:p w14:paraId="1391D76F">
            <w:pPr>
              <w:spacing w:line="320" w:lineRule="exact"/>
              <w:jc w:val="center"/>
              <w:rPr>
                <w:rFonts w:hint="eastAsia" w:ascii="宋体" w:hAnsi="宋体" w:eastAsia="宋体" w:cs="宋体"/>
                <w:sz w:val="21"/>
                <w:szCs w:val="21"/>
              </w:rPr>
            </w:pPr>
          </w:p>
          <w:p w14:paraId="0A4B084F">
            <w:pPr>
              <w:spacing w:line="320" w:lineRule="exact"/>
              <w:jc w:val="center"/>
              <w:rPr>
                <w:rFonts w:hint="eastAsia" w:ascii="宋体" w:hAnsi="宋体" w:eastAsia="宋体" w:cs="宋体"/>
                <w:sz w:val="21"/>
                <w:szCs w:val="21"/>
              </w:rPr>
            </w:pPr>
          </w:p>
          <w:p w14:paraId="305F470D">
            <w:pPr>
              <w:spacing w:line="320" w:lineRule="exact"/>
              <w:jc w:val="center"/>
              <w:rPr>
                <w:rFonts w:hint="eastAsia" w:ascii="宋体" w:hAnsi="宋体" w:eastAsia="宋体" w:cs="宋体"/>
                <w:sz w:val="21"/>
                <w:szCs w:val="21"/>
              </w:rPr>
            </w:pPr>
          </w:p>
          <w:p w14:paraId="0D4237BC">
            <w:pPr>
              <w:spacing w:line="320" w:lineRule="exact"/>
              <w:jc w:val="center"/>
              <w:rPr>
                <w:rFonts w:hint="eastAsia" w:ascii="宋体" w:hAnsi="宋体" w:eastAsia="宋体" w:cs="宋体"/>
                <w:sz w:val="21"/>
                <w:szCs w:val="21"/>
              </w:rPr>
            </w:pPr>
          </w:p>
          <w:p w14:paraId="7B7272C1">
            <w:pPr>
              <w:spacing w:line="320" w:lineRule="exact"/>
              <w:jc w:val="center"/>
              <w:rPr>
                <w:rFonts w:ascii="宋体" w:hAnsi="宋体" w:eastAsia="宋体" w:cs="宋体"/>
                <w:sz w:val="21"/>
                <w:szCs w:val="21"/>
              </w:rPr>
            </w:pPr>
            <w:r>
              <w:rPr>
                <w:rFonts w:hint="eastAsia" w:ascii="宋体" w:hAnsi="宋体" w:eastAsia="宋体" w:cs="宋体"/>
                <w:sz w:val="21"/>
                <w:szCs w:val="21"/>
              </w:rPr>
              <w:t>23</w:t>
            </w:r>
          </w:p>
        </w:tc>
        <w:tc>
          <w:tcPr>
            <w:tcW w:w="1314" w:type="dxa"/>
            <w:tcBorders>
              <w:top w:val="single" w:color="auto" w:sz="4" w:space="0"/>
              <w:left w:val="single" w:color="auto" w:sz="4" w:space="0"/>
              <w:bottom w:val="single" w:color="auto" w:sz="4" w:space="0"/>
              <w:right w:val="single" w:color="auto" w:sz="4" w:space="0"/>
            </w:tcBorders>
            <w:vAlign w:val="center"/>
          </w:tcPr>
          <w:p w14:paraId="384C6E5D">
            <w:pPr>
              <w:widowControl/>
              <w:spacing w:line="320" w:lineRule="exact"/>
              <w:textAlignment w:val="center"/>
              <w:rPr>
                <w:rFonts w:ascii="宋体" w:hAnsi="宋体" w:eastAsia="宋体" w:cs="宋体"/>
                <w:sz w:val="21"/>
                <w:szCs w:val="21"/>
              </w:rPr>
            </w:pPr>
            <w:r>
              <w:rPr>
                <w:rFonts w:hint="eastAsia" w:ascii="宋体" w:hAnsi="宋体" w:eastAsia="宋体" w:cs="宋体"/>
                <w:kern w:val="0"/>
                <w:sz w:val="21"/>
                <w:szCs w:val="21"/>
              </w:rPr>
              <w:t>协助做好物业管理工作</w:t>
            </w:r>
          </w:p>
        </w:tc>
        <w:tc>
          <w:tcPr>
            <w:tcW w:w="1802" w:type="dxa"/>
            <w:tcBorders>
              <w:top w:val="single" w:color="auto" w:sz="4" w:space="0"/>
              <w:left w:val="single" w:color="auto" w:sz="4" w:space="0"/>
              <w:bottom w:val="single" w:color="auto" w:sz="4" w:space="0"/>
              <w:right w:val="single" w:color="auto" w:sz="4" w:space="0"/>
            </w:tcBorders>
            <w:vAlign w:val="center"/>
          </w:tcPr>
          <w:p w14:paraId="2DA79CE4">
            <w:pPr>
              <w:widowControl/>
              <w:spacing w:line="320" w:lineRule="exact"/>
              <w:jc w:val="left"/>
              <w:textAlignment w:val="center"/>
              <w:rPr>
                <w:rFonts w:ascii="宋体" w:hAnsi="宋体" w:eastAsia="宋体" w:cs="宋体"/>
                <w:sz w:val="21"/>
                <w:szCs w:val="21"/>
              </w:rPr>
            </w:pPr>
            <w:r>
              <w:rPr>
                <w:rFonts w:hint="eastAsia" w:ascii="宋体" w:hAnsi="宋体" w:eastAsia="宋体" w:cs="宋体"/>
                <w:kern w:val="0"/>
                <w:sz w:val="21"/>
                <w:szCs w:val="21"/>
              </w:rPr>
              <w:t>协助做好物业管理相关工作。</w:t>
            </w:r>
          </w:p>
        </w:tc>
        <w:tc>
          <w:tcPr>
            <w:tcW w:w="7846" w:type="dxa"/>
            <w:tcBorders>
              <w:top w:val="single" w:color="auto" w:sz="4" w:space="0"/>
              <w:left w:val="single" w:color="auto" w:sz="4" w:space="0"/>
              <w:bottom w:val="single" w:color="auto" w:sz="4" w:space="0"/>
              <w:right w:val="single" w:color="auto" w:sz="4" w:space="0"/>
            </w:tcBorders>
          </w:tcPr>
          <w:p w14:paraId="60B08E07">
            <w:pPr>
              <w:spacing w:line="320" w:lineRule="exact"/>
              <w:rPr>
                <w:rFonts w:ascii="宋体" w:hAnsi="宋体" w:eastAsia="宋体" w:cs="宋体"/>
                <w:sz w:val="21"/>
                <w:szCs w:val="21"/>
              </w:rPr>
            </w:pPr>
            <w:r>
              <w:rPr>
                <w:rFonts w:hint="eastAsia" w:ascii="宋体" w:hAnsi="宋体" w:eastAsia="宋体" w:cs="宋体"/>
                <w:sz w:val="21"/>
                <w:szCs w:val="21"/>
              </w:rPr>
              <w:t>1.协助和配合街道办事处、乡（镇）人民政府做好以下相关工作。</w:t>
            </w:r>
          </w:p>
          <w:p w14:paraId="4221B1B8">
            <w:pPr>
              <w:spacing w:line="320" w:lineRule="exact"/>
              <w:rPr>
                <w:rFonts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1 \* GB3 </w:instrText>
            </w:r>
            <w:r>
              <w:rPr>
                <w:rFonts w:hint="eastAsia" w:ascii="宋体" w:hAnsi="宋体" w:eastAsia="宋体" w:cs="宋体"/>
                <w:sz w:val="21"/>
                <w:szCs w:val="21"/>
              </w:rPr>
              <w:fldChar w:fldCharType="separate"/>
            </w:r>
            <w:r>
              <w:rPr>
                <w:rFonts w:hint="eastAsia" w:ascii="宋体" w:hAnsi="宋体" w:eastAsia="宋体" w:cs="宋体"/>
                <w:sz w:val="21"/>
                <w:szCs w:val="21"/>
              </w:rPr>
              <w:t>①</w:t>
            </w:r>
            <w:r>
              <w:rPr>
                <w:rFonts w:hint="eastAsia" w:ascii="宋体" w:hAnsi="宋体" w:eastAsia="宋体" w:cs="宋体"/>
                <w:sz w:val="21"/>
                <w:szCs w:val="21"/>
              </w:rPr>
              <w:fldChar w:fldCharType="end"/>
            </w:r>
            <w:r>
              <w:rPr>
                <w:rFonts w:hint="eastAsia" w:ascii="宋体" w:hAnsi="宋体" w:eastAsia="宋体" w:cs="宋体"/>
                <w:sz w:val="21"/>
                <w:szCs w:val="21"/>
              </w:rPr>
              <w:t>指导和监督业主大会、业主委员会的组建和换届改选，负责业主委员会备案。</w:t>
            </w:r>
          </w:p>
          <w:p w14:paraId="349A34A3">
            <w:pPr>
              <w:spacing w:line="320" w:lineRule="exact"/>
              <w:rPr>
                <w:rFonts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2 \* GB3 </w:instrText>
            </w:r>
            <w:r>
              <w:rPr>
                <w:rFonts w:hint="eastAsia" w:ascii="宋体" w:hAnsi="宋体" w:eastAsia="宋体" w:cs="宋体"/>
                <w:sz w:val="21"/>
                <w:szCs w:val="21"/>
              </w:rPr>
              <w:fldChar w:fldCharType="separate"/>
            </w:r>
            <w:r>
              <w:rPr>
                <w:rFonts w:hint="eastAsia" w:ascii="宋体" w:hAnsi="宋体" w:eastAsia="宋体" w:cs="宋体"/>
                <w:sz w:val="21"/>
                <w:szCs w:val="21"/>
              </w:rPr>
              <w:t>②</w:t>
            </w:r>
            <w:r>
              <w:rPr>
                <w:rFonts w:hint="eastAsia" w:ascii="宋体" w:hAnsi="宋体" w:eastAsia="宋体" w:cs="宋体"/>
                <w:sz w:val="21"/>
                <w:szCs w:val="21"/>
              </w:rPr>
              <w:fldChar w:fldCharType="end"/>
            </w:r>
            <w:r>
              <w:rPr>
                <w:rFonts w:hint="eastAsia" w:ascii="宋体" w:hAnsi="宋体" w:eastAsia="宋体" w:cs="宋体"/>
                <w:sz w:val="21"/>
                <w:szCs w:val="21"/>
              </w:rPr>
              <w:t>指导和监督业主大会、业主委员会依法履行职责。</w:t>
            </w:r>
          </w:p>
          <w:p w14:paraId="43B02960">
            <w:pPr>
              <w:spacing w:line="320" w:lineRule="exact"/>
              <w:rPr>
                <w:rFonts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3 \* GB3 </w:instrText>
            </w:r>
            <w:r>
              <w:rPr>
                <w:rFonts w:hint="eastAsia" w:ascii="宋体" w:hAnsi="宋体" w:eastAsia="宋体" w:cs="宋体"/>
                <w:sz w:val="21"/>
                <w:szCs w:val="21"/>
              </w:rPr>
              <w:fldChar w:fldCharType="separate"/>
            </w:r>
            <w:r>
              <w:rPr>
                <w:rFonts w:hint="eastAsia" w:ascii="宋体" w:hAnsi="宋体" w:eastAsia="宋体" w:cs="宋体"/>
                <w:sz w:val="21"/>
                <w:szCs w:val="21"/>
              </w:rPr>
              <w:t>③</w:t>
            </w:r>
            <w:r>
              <w:rPr>
                <w:rFonts w:hint="eastAsia" w:ascii="宋体" w:hAnsi="宋体" w:eastAsia="宋体" w:cs="宋体"/>
                <w:sz w:val="21"/>
                <w:szCs w:val="21"/>
              </w:rPr>
              <w:fldChar w:fldCharType="end"/>
            </w:r>
            <w:r>
              <w:rPr>
                <w:rFonts w:hint="eastAsia" w:ascii="宋体" w:hAnsi="宋体" w:eastAsia="宋体" w:cs="宋体"/>
                <w:sz w:val="21"/>
                <w:szCs w:val="21"/>
              </w:rPr>
              <w:t>指导和监督物业服务企业履行法定义务，对物业服务实施情况开展监督检查。</w:t>
            </w:r>
          </w:p>
          <w:p w14:paraId="083FD533">
            <w:pPr>
              <w:spacing w:line="320" w:lineRule="exact"/>
              <w:rPr>
                <w:rFonts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4 \* GB3 </w:instrText>
            </w:r>
            <w:r>
              <w:rPr>
                <w:rFonts w:hint="eastAsia" w:ascii="宋体" w:hAnsi="宋体" w:eastAsia="宋体" w:cs="宋体"/>
                <w:sz w:val="21"/>
                <w:szCs w:val="21"/>
              </w:rPr>
              <w:fldChar w:fldCharType="separate"/>
            </w:r>
            <w:r>
              <w:rPr>
                <w:rFonts w:hint="eastAsia" w:ascii="宋体" w:hAnsi="宋体" w:eastAsia="宋体" w:cs="宋体"/>
                <w:sz w:val="21"/>
                <w:szCs w:val="21"/>
              </w:rPr>
              <w:t>④</w:t>
            </w:r>
            <w:r>
              <w:rPr>
                <w:rFonts w:hint="eastAsia" w:ascii="宋体" w:hAnsi="宋体" w:eastAsia="宋体" w:cs="宋体"/>
                <w:sz w:val="21"/>
                <w:szCs w:val="21"/>
              </w:rPr>
              <w:fldChar w:fldCharType="end"/>
            </w:r>
            <w:r>
              <w:rPr>
                <w:rFonts w:hint="eastAsia" w:ascii="宋体" w:hAnsi="宋体" w:eastAsia="宋体" w:cs="宋体"/>
                <w:sz w:val="21"/>
                <w:szCs w:val="21"/>
              </w:rPr>
              <w:t>参加物业承接查验，指导和监督物业服务项目的移交、接管。</w:t>
            </w:r>
          </w:p>
          <w:p w14:paraId="52E36FAB">
            <w:pPr>
              <w:spacing w:line="320" w:lineRule="exact"/>
              <w:rPr>
                <w:rFonts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5 \* GB3 </w:instrText>
            </w:r>
            <w:r>
              <w:rPr>
                <w:rFonts w:hint="eastAsia" w:ascii="宋体" w:hAnsi="宋体" w:eastAsia="宋体" w:cs="宋体"/>
                <w:sz w:val="21"/>
                <w:szCs w:val="21"/>
              </w:rPr>
              <w:fldChar w:fldCharType="separate"/>
            </w:r>
            <w:r>
              <w:rPr>
                <w:rFonts w:hint="eastAsia" w:ascii="宋体" w:hAnsi="宋体" w:eastAsia="宋体" w:cs="宋体"/>
                <w:sz w:val="21"/>
                <w:szCs w:val="21"/>
              </w:rPr>
              <w:t>⑤</w:t>
            </w:r>
            <w:r>
              <w:rPr>
                <w:rFonts w:hint="eastAsia" w:ascii="宋体" w:hAnsi="宋体" w:eastAsia="宋体" w:cs="宋体"/>
                <w:sz w:val="21"/>
                <w:szCs w:val="21"/>
              </w:rPr>
              <w:fldChar w:fldCharType="end"/>
            </w:r>
            <w:r>
              <w:rPr>
                <w:rFonts w:hint="eastAsia" w:ascii="宋体" w:hAnsi="宋体" w:eastAsia="宋体" w:cs="宋体"/>
                <w:sz w:val="21"/>
                <w:szCs w:val="21"/>
              </w:rPr>
              <w:t>建立物业管理矛盾投诉调解机制，调处物业管理纠纷。</w:t>
            </w:r>
          </w:p>
          <w:p w14:paraId="244FBD68">
            <w:pPr>
              <w:spacing w:line="320" w:lineRule="exact"/>
              <w:rPr>
                <w:rFonts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6 \* GB3 </w:instrText>
            </w:r>
            <w:r>
              <w:rPr>
                <w:rFonts w:hint="eastAsia" w:ascii="宋体" w:hAnsi="宋体" w:eastAsia="宋体" w:cs="宋体"/>
                <w:sz w:val="21"/>
                <w:szCs w:val="21"/>
              </w:rPr>
              <w:fldChar w:fldCharType="separate"/>
            </w:r>
            <w:r>
              <w:rPr>
                <w:rFonts w:hint="eastAsia" w:ascii="宋体" w:hAnsi="宋体" w:eastAsia="宋体" w:cs="宋体"/>
                <w:sz w:val="21"/>
                <w:szCs w:val="21"/>
              </w:rPr>
              <w:t>⑥</w:t>
            </w:r>
            <w:r>
              <w:rPr>
                <w:rFonts w:hint="eastAsia" w:ascii="宋体" w:hAnsi="宋体" w:eastAsia="宋体" w:cs="宋体"/>
                <w:sz w:val="21"/>
                <w:szCs w:val="21"/>
              </w:rPr>
              <w:fldChar w:fldCharType="end"/>
            </w:r>
            <w:r>
              <w:rPr>
                <w:rFonts w:hint="eastAsia" w:ascii="宋体" w:hAnsi="宋体" w:eastAsia="宋体" w:cs="宋体"/>
                <w:sz w:val="21"/>
                <w:szCs w:val="21"/>
              </w:rPr>
              <w:t>管理物业档案，协助开展辖区内物业服务信用信息的采集和核查工作。</w:t>
            </w:r>
          </w:p>
          <w:p w14:paraId="6F5F6E7E">
            <w:pPr>
              <w:spacing w:line="320" w:lineRule="exact"/>
              <w:rPr>
                <w:rFonts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7 \* GB3 </w:instrText>
            </w:r>
            <w:r>
              <w:rPr>
                <w:rFonts w:hint="eastAsia" w:ascii="宋体" w:hAnsi="宋体" w:eastAsia="宋体" w:cs="宋体"/>
                <w:sz w:val="21"/>
                <w:szCs w:val="21"/>
              </w:rPr>
              <w:fldChar w:fldCharType="separate"/>
            </w:r>
            <w:r>
              <w:rPr>
                <w:rFonts w:hint="eastAsia" w:ascii="宋体" w:hAnsi="宋体" w:eastAsia="宋体" w:cs="宋体"/>
                <w:sz w:val="21"/>
                <w:szCs w:val="21"/>
              </w:rPr>
              <w:t>⑦</w:t>
            </w:r>
            <w:r>
              <w:rPr>
                <w:rFonts w:hint="eastAsia" w:ascii="宋体" w:hAnsi="宋体" w:eastAsia="宋体" w:cs="宋体"/>
                <w:sz w:val="21"/>
                <w:szCs w:val="21"/>
              </w:rPr>
              <w:fldChar w:fldCharType="end"/>
            </w:r>
            <w:r>
              <w:rPr>
                <w:rFonts w:hint="eastAsia" w:ascii="宋体" w:hAnsi="宋体" w:eastAsia="宋体" w:cs="宋体"/>
                <w:sz w:val="21"/>
                <w:szCs w:val="21"/>
              </w:rPr>
              <w:t>法律、法规规定的其他职责。</w:t>
            </w:r>
          </w:p>
          <w:p w14:paraId="233C5B99">
            <w:pPr>
              <w:spacing w:line="320" w:lineRule="exact"/>
              <w:rPr>
                <w:rFonts w:ascii="宋体" w:hAnsi="宋体" w:eastAsia="宋体" w:cs="宋体"/>
                <w:sz w:val="21"/>
                <w:szCs w:val="21"/>
              </w:rPr>
            </w:pPr>
            <w:r>
              <w:rPr>
                <w:rFonts w:hint="eastAsia" w:ascii="宋体" w:hAnsi="宋体" w:eastAsia="宋体" w:cs="宋体"/>
                <w:sz w:val="21"/>
                <w:szCs w:val="21"/>
              </w:rPr>
              <w:t>2.派员参加业主大会和业主委员会会议，了解物业管理工作情况。</w:t>
            </w:r>
          </w:p>
          <w:p w14:paraId="3986C192">
            <w:pPr>
              <w:spacing w:line="320" w:lineRule="exact"/>
              <w:rPr>
                <w:rFonts w:ascii="宋体" w:hAnsi="宋体" w:eastAsia="宋体" w:cs="宋体"/>
                <w:sz w:val="21"/>
                <w:szCs w:val="21"/>
              </w:rPr>
            </w:pPr>
            <w:r>
              <w:rPr>
                <w:rFonts w:hint="eastAsia" w:ascii="宋体" w:hAnsi="宋体" w:eastAsia="宋体" w:cs="宋体"/>
                <w:sz w:val="21"/>
                <w:szCs w:val="21"/>
              </w:rPr>
              <w:t>3.对业主大会、业主委员会和物业服务企业的日常工作进行指导和监督。</w:t>
            </w:r>
          </w:p>
          <w:p w14:paraId="3175EF83">
            <w:pPr>
              <w:spacing w:line="320" w:lineRule="exact"/>
              <w:rPr>
                <w:rFonts w:ascii="宋体" w:hAnsi="宋体" w:eastAsia="宋体" w:cs="宋体"/>
                <w:sz w:val="21"/>
                <w:szCs w:val="21"/>
              </w:rPr>
            </w:pPr>
            <w:r>
              <w:rPr>
                <w:rFonts w:hint="eastAsia" w:ascii="宋体" w:hAnsi="宋体" w:eastAsia="宋体" w:cs="宋体"/>
                <w:sz w:val="21"/>
                <w:szCs w:val="21"/>
              </w:rPr>
              <w:t>4.法律、法规规定的其他职责。</w:t>
            </w:r>
          </w:p>
          <w:p w14:paraId="2B3026A9">
            <w:pPr>
              <w:spacing w:line="320" w:lineRule="exact"/>
              <w:rPr>
                <w:rFonts w:ascii="宋体" w:hAnsi="宋体" w:eastAsia="宋体" w:cs="宋体"/>
                <w:sz w:val="21"/>
                <w:szCs w:val="21"/>
              </w:rPr>
            </w:pPr>
            <w:r>
              <w:rPr>
                <w:rFonts w:hint="eastAsia" w:ascii="宋体" w:hAnsi="宋体" w:eastAsia="宋体" w:cs="宋体"/>
                <w:sz w:val="21"/>
                <w:szCs w:val="21"/>
              </w:rPr>
              <w:t>鼓励在居（村）民委员会设立环境和物业管理委员会，具体指导和监督业主委员会、物业服务企业依法履行职责。</w:t>
            </w:r>
          </w:p>
          <w:p w14:paraId="7FC2FA64">
            <w:pPr>
              <w:spacing w:line="320" w:lineRule="exact"/>
              <w:rPr>
                <w:rFonts w:ascii="宋体" w:hAnsi="宋体" w:eastAsia="宋体" w:cs="宋体"/>
                <w:sz w:val="21"/>
                <w:szCs w:val="21"/>
              </w:rPr>
            </w:pPr>
            <w:r>
              <w:rPr>
                <w:rFonts w:hint="eastAsia" w:ascii="宋体" w:hAnsi="宋体" w:eastAsia="宋体" w:cs="宋体"/>
                <w:sz w:val="21"/>
                <w:szCs w:val="21"/>
              </w:rPr>
              <w:t>5.协助开展城镇老旧小区改造工作。</w:t>
            </w:r>
          </w:p>
          <w:p w14:paraId="0D4FB23A">
            <w:pPr>
              <w:spacing w:line="320" w:lineRule="exact"/>
              <w:rPr>
                <w:rFonts w:ascii="宋体" w:hAnsi="宋体" w:eastAsia="宋体" w:cs="宋体"/>
                <w:sz w:val="21"/>
                <w:szCs w:val="21"/>
              </w:rPr>
            </w:pPr>
            <w:r>
              <w:rPr>
                <w:rFonts w:hint="eastAsia" w:ascii="宋体" w:hAnsi="宋体" w:eastAsia="宋体" w:cs="宋体"/>
                <w:sz w:val="21"/>
                <w:szCs w:val="21"/>
              </w:rPr>
              <w:t>①将城镇老旧小区改造与加强基层党组织建设、居民自治机制建设、社区服务体系建设有机结合。</w:t>
            </w:r>
          </w:p>
          <w:p w14:paraId="45A9AF9D">
            <w:pPr>
              <w:spacing w:line="320" w:lineRule="exact"/>
              <w:rPr>
                <w:rFonts w:ascii="宋体" w:hAnsi="宋体" w:eastAsia="宋体" w:cs="宋体"/>
                <w:sz w:val="21"/>
                <w:szCs w:val="21"/>
              </w:rPr>
            </w:pPr>
            <w:r>
              <w:rPr>
                <w:rFonts w:hint="eastAsia" w:ascii="宋体" w:hAnsi="宋体" w:eastAsia="宋体" w:cs="宋体"/>
                <w:sz w:val="21"/>
                <w:szCs w:val="21"/>
              </w:rPr>
              <w:t>②充分发挥社区党组织的领导作用，统筹协调社区居民委员会、业主委员会、产权单位、物业服务企业等共同推进改造。</w:t>
            </w:r>
          </w:p>
          <w:p w14:paraId="540B4577">
            <w:pPr>
              <w:spacing w:line="320" w:lineRule="exact"/>
              <w:rPr>
                <w:rFonts w:ascii="宋体" w:hAnsi="宋体" w:eastAsia="宋体" w:cs="宋体"/>
                <w:sz w:val="21"/>
                <w:szCs w:val="21"/>
              </w:rPr>
            </w:pPr>
            <w:r>
              <w:rPr>
                <w:rFonts w:hint="eastAsia" w:ascii="宋体" w:hAnsi="宋体" w:eastAsia="宋体" w:cs="宋体"/>
                <w:sz w:val="21"/>
                <w:szCs w:val="21"/>
              </w:rPr>
              <w:t>③搭建沟通议事平台，利用“互联网+共建共治共享”等线上线下手段，开展小区党组织引领的多种形式基层协商，主动了解居民诉求，促进居民形成共识，发动居民积极参与改造方案制定、配合施工、参与监督和后续管理、评价和反馈小区改造效果等。</w:t>
            </w:r>
          </w:p>
          <w:p w14:paraId="06373165">
            <w:pPr>
              <w:spacing w:line="320" w:lineRule="exact"/>
              <w:rPr>
                <w:rFonts w:ascii="宋体" w:hAnsi="宋体" w:eastAsia="宋体" w:cs="宋体"/>
                <w:sz w:val="21"/>
                <w:szCs w:val="21"/>
              </w:rPr>
            </w:pPr>
            <w:r>
              <w:rPr>
                <w:rFonts w:hint="eastAsia" w:ascii="宋体" w:hAnsi="宋体" w:eastAsia="宋体" w:cs="宋体"/>
                <w:sz w:val="21"/>
                <w:szCs w:val="21"/>
              </w:rPr>
              <w:t>④协助组织引导社区内机关、企事业单位积极参与改造。</w:t>
            </w:r>
          </w:p>
          <w:p w14:paraId="5246936F">
            <w:pPr>
              <w:spacing w:line="320" w:lineRule="exact"/>
              <w:rPr>
                <w:rFonts w:ascii="宋体" w:hAnsi="宋体" w:eastAsia="宋体" w:cs="宋体"/>
                <w:sz w:val="21"/>
                <w:szCs w:val="21"/>
              </w:rPr>
            </w:pPr>
            <w:r>
              <w:rPr>
                <w:rFonts w:hint="eastAsia" w:ascii="宋体" w:hAnsi="宋体" w:eastAsia="宋体" w:cs="宋体"/>
                <w:sz w:val="21"/>
                <w:szCs w:val="21"/>
              </w:rPr>
              <w:t>⑤结合改造工作同步建立健全基层党组织领导，社区居民委员会配合，业主委员会、物业服务企业等参与的联席会议机制，引导居民协商确定改造后小区的管理模式、管理规约及业主议事规则，共同维护改造成果。</w:t>
            </w:r>
          </w:p>
          <w:p w14:paraId="040D518B">
            <w:pPr>
              <w:spacing w:line="320" w:lineRule="exact"/>
              <w:rPr>
                <w:rFonts w:ascii="宋体" w:hAnsi="宋体" w:eastAsia="宋体" w:cs="宋体"/>
                <w:sz w:val="21"/>
                <w:szCs w:val="21"/>
              </w:rPr>
            </w:pPr>
            <w:r>
              <w:rPr>
                <w:rFonts w:hint="eastAsia" w:ascii="宋体" w:hAnsi="宋体" w:eastAsia="宋体" w:cs="宋体"/>
                <w:sz w:val="21"/>
                <w:szCs w:val="21"/>
              </w:rPr>
              <w:t>⑥推动城市管理进社区。</w:t>
            </w:r>
            <w:r>
              <w:rPr>
                <w:rFonts w:hint="eastAsia" w:ascii="宋体" w:hAnsi="宋体" w:eastAsia="宋体" w:cs="宋体"/>
                <w:bCs/>
                <w:sz w:val="21"/>
                <w:szCs w:val="21"/>
              </w:rPr>
              <w:t>推动设计师、工程师进社区，辅导居民谋划社区人居环境建设和整治方案，有效参与城镇老旧小区改造、生活垃圾分类、节能节水、环境绿化等工作。</w:t>
            </w:r>
          </w:p>
        </w:tc>
        <w:tc>
          <w:tcPr>
            <w:tcW w:w="1404" w:type="dxa"/>
            <w:tcBorders>
              <w:top w:val="single" w:color="auto" w:sz="4" w:space="0"/>
              <w:left w:val="single" w:color="auto" w:sz="4" w:space="0"/>
              <w:bottom w:val="single" w:color="auto" w:sz="4" w:space="0"/>
              <w:right w:val="single" w:color="auto" w:sz="4" w:space="0"/>
            </w:tcBorders>
            <w:vAlign w:val="center"/>
          </w:tcPr>
          <w:p w14:paraId="1EC7D8BC">
            <w:pPr>
              <w:spacing w:line="320" w:lineRule="exact"/>
              <w:jc w:val="center"/>
              <w:rPr>
                <w:rFonts w:ascii="宋体" w:hAnsi="宋体" w:eastAsia="宋体" w:cs="宋体"/>
                <w:sz w:val="21"/>
                <w:szCs w:val="21"/>
              </w:rPr>
            </w:pPr>
            <w:r>
              <w:rPr>
                <w:rFonts w:hint="eastAsia" w:ascii="宋体" w:hAnsi="宋体" w:eastAsia="宋体" w:cs="宋体"/>
                <w:sz w:val="21"/>
                <w:szCs w:val="21"/>
              </w:rPr>
              <w:t>《重庆市物业管理条例》第四条</w:t>
            </w:r>
          </w:p>
        </w:tc>
        <w:tc>
          <w:tcPr>
            <w:tcW w:w="900" w:type="dxa"/>
            <w:tcBorders>
              <w:top w:val="single" w:color="auto" w:sz="4" w:space="0"/>
              <w:left w:val="single" w:color="auto" w:sz="4" w:space="0"/>
              <w:bottom w:val="single" w:color="auto" w:sz="4" w:space="0"/>
              <w:right w:val="single" w:color="auto" w:sz="4" w:space="0"/>
            </w:tcBorders>
            <w:vAlign w:val="center"/>
          </w:tcPr>
          <w:p w14:paraId="496B5681">
            <w:pPr>
              <w:spacing w:line="320" w:lineRule="exact"/>
              <w:jc w:val="center"/>
              <w:rPr>
                <w:rFonts w:ascii="宋体" w:hAnsi="宋体" w:eastAsia="宋体" w:cs="宋体"/>
                <w:sz w:val="21"/>
                <w:szCs w:val="21"/>
              </w:rPr>
            </w:pPr>
            <w:r>
              <w:rPr>
                <w:rFonts w:hint="eastAsia" w:ascii="宋体" w:hAnsi="宋体" w:eastAsia="宋体" w:cs="宋体"/>
                <w:sz w:val="21"/>
                <w:szCs w:val="21"/>
              </w:rPr>
              <w:t>住房城乡建设部门</w:t>
            </w:r>
          </w:p>
        </w:tc>
        <w:tc>
          <w:tcPr>
            <w:tcW w:w="686" w:type="dxa"/>
            <w:tcBorders>
              <w:top w:val="single" w:color="auto" w:sz="4" w:space="0"/>
              <w:left w:val="single" w:color="auto" w:sz="4" w:space="0"/>
              <w:bottom w:val="single" w:color="auto" w:sz="4" w:space="0"/>
              <w:right w:val="single" w:color="auto" w:sz="4" w:space="0"/>
            </w:tcBorders>
            <w:vAlign w:val="center"/>
          </w:tcPr>
          <w:p w14:paraId="352CBB79">
            <w:pPr>
              <w:spacing w:line="320" w:lineRule="exact"/>
              <w:rPr>
                <w:rFonts w:ascii="宋体" w:hAnsi="宋体" w:eastAsia="宋体" w:cs="宋体"/>
                <w:sz w:val="21"/>
                <w:szCs w:val="21"/>
              </w:rPr>
            </w:pPr>
          </w:p>
        </w:tc>
      </w:tr>
      <w:tr w14:paraId="6ECF40F8">
        <w:tblPrEx>
          <w:tblCellMar>
            <w:top w:w="15" w:type="dxa"/>
            <w:left w:w="15" w:type="dxa"/>
            <w:bottom w:w="15" w:type="dxa"/>
            <w:right w:w="15" w:type="dxa"/>
          </w:tblCellMar>
        </w:tblPrEx>
        <w:trPr>
          <w:trHeight w:val="1959" w:hRule="atLeast"/>
          <w:jc w:val="center"/>
        </w:trPr>
        <w:tc>
          <w:tcPr>
            <w:tcW w:w="808" w:type="dxa"/>
            <w:tcBorders>
              <w:top w:val="single" w:color="auto" w:sz="4" w:space="0"/>
              <w:left w:val="single" w:color="auto" w:sz="4" w:space="0"/>
              <w:bottom w:val="single" w:color="auto" w:sz="4" w:space="0"/>
              <w:right w:val="single" w:color="auto" w:sz="4" w:space="0"/>
            </w:tcBorders>
            <w:vAlign w:val="center"/>
          </w:tcPr>
          <w:p w14:paraId="1FAE182C">
            <w:pPr>
              <w:spacing w:line="320" w:lineRule="exact"/>
              <w:jc w:val="center"/>
              <w:rPr>
                <w:rFonts w:ascii="宋体" w:hAnsi="宋体" w:eastAsia="宋体" w:cs="宋体"/>
                <w:sz w:val="21"/>
                <w:szCs w:val="21"/>
              </w:rPr>
            </w:pPr>
            <w:r>
              <w:rPr>
                <w:rFonts w:hint="eastAsia" w:ascii="宋体" w:hAnsi="宋体" w:eastAsia="宋体" w:cs="宋体"/>
                <w:sz w:val="21"/>
                <w:szCs w:val="21"/>
              </w:rPr>
              <w:t>24</w:t>
            </w:r>
          </w:p>
        </w:tc>
        <w:tc>
          <w:tcPr>
            <w:tcW w:w="1314" w:type="dxa"/>
            <w:tcBorders>
              <w:top w:val="single" w:color="auto" w:sz="4" w:space="0"/>
              <w:left w:val="single" w:color="auto" w:sz="4" w:space="0"/>
              <w:bottom w:val="single" w:color="auto" w:sz="4" w:space="0"/>
              <w:right w:val="single" w:color="auto" w:sz="4" w:space="0"/>
            </w:tcBorders>
            <w:vAlign w:val="center"/>
          </w:tcPr>
          <w:p w14:paraId="3D30C7AE">
            <w:pPr>
              <w:widowControl/>
              <w:spacing w:line="320" w:lineRule="exact"/>
              <w:textAlignment w:val="center"/>
              <w:rPr>
                <w:rFonts w:ascii="宋体" w:hAnsi="宋体" w:eastAsia="宋体" w:cs="宋体"/>
                <w:sz w:val="21"/>
                <w:szCs w:val="21"/>
              </w:rPr>
            </w:pPr>
            <w:r>
              <w:rPr>
                <w:rFonts w:hint="eastAsia" w:ascii="宋体" w:hAnsi="宋体" w:eastAsia="宋体" w:cs="宋体"/>
                <w:kern w:val="0"/>
                <w:sz w:val="21"/>
                <w:szCs w:val="21"/>
              </w:rPr>
              <w:t>协助推进家庭教育</w:t>
            </w:r>
          </w:p>
        </w:tc>
        <w:tc>
          <w:tcPr>
            <w:tcW w:w="1802" w:type="dxa"/>
            <w:tcBorders>
              <w:top w:val="single" w:color="auto" w:sz="4" w:space="0"/>
              <w:left w:val="single" w:color="auto" w:sz="4" w:space="0"/>
              <w:bottom w:val="single" w:color="auto" w:sz="4" w:space="0"/>
              <w:right w:val="single" w:color="auto" w:sz="4" w:space="0"/>
            </w:tcBorders>
            <w:vAlign w:val="center"/>
          </w:tcPr>
          <w:p w14:paraId="68613ECA">
            <w:pPr>
              <w:widowControl/>
              <w:spacing w:line="320" w:lineRule="exact"/>
              <w:jc w:val="left"/>
              <w:textAlignment w:val="center"/>
              <w:rPr>
                <w:rFonts w:ascii="宋体" w:hAnsi="宋体" w:eastAsia="宋体" w:cs="宋体"/>
                <w:sz w:val="21"/>
                <w:szCs w:val="21"/>
              </w:rPr>
            </w:pPr>
            <w:r>
              <w:rPr>
                <w:rFonts w:hint="eastAsia" w:ascii="宋体" w:hAnsi="宋体" w:eastAsia="宋体" w:cs="宋体"/>
                <w:kern w:val="0"/>
                <w:sz w:val="21"/>
                <w:szCs w:val="21"/>
              </w:rPr>
              <w:t>协助推进家庭教育工作，处理家庭教育求助申请。</w:t>
            </w:r>
          </w:p>
        </w:tc>
        <w:tc>
          <w:tcPr>
            <w:tcW w:w="7846" w:type="dxa"/>
            <w:tcBorders>
              <w:top w:val="single" w:color="auto" w:sz="4" w:space="0"/>
              <w:left w:val="single" w:color="auto" w:sz="4" w:space="0"/>
              <w:bottom w:val="single" w:color="auto" w:sz="4" w:space="0"/>
              <w:right w:val="single" w:color="auto" w:sz="4" w:space="0"/>
            </w:tcBorders>
            <w:vAlign w:val="center"/>
          </w:tcPr>
          <w:p w14:paraId="71D3105A">
            <w:pPr>
              <w:spacing w:line="320" w:lineRule="exact"/>
              <w:rPr>
                <w:rFonts w:ascii="宋体" w:hAnsi="宋体" w:eastAsia="宋体" w:cs="宋体"/>
                <w:sz w:val="21"/>
                <w:szCs w:val="21"/>
              </w:rPr>
            </w:pPr>
            <w:r>
              <w:rPr>
                <w:rFonts w:hint="eastAsia" w:ascii="宋体" w:hAnsi="宋体" w:eastAsia="宋体" w:cs="宋体"/>
                <w:sz w:val="21"/>
                <w:szCs w:val="21"/>
              </w:rPr>
              <w:t>1.受理未成年人认为父母或者其他监护人的教育有损自己身心健康的投诉、反映。</w:t>
            </w:r>
          </w:p>
          <w:p w14:paraId="77B87E50">
            <w:pPr>
              <w:spacing w:line="320" w:lineRule="exact"/>
              <w:rPr>
                <w:rFonts w:ascii="宋体" w:hAnsi="宋体" w:eastAsia="宋体" w:cs="宋体"/>
                <w:sz w:val="21"/>
                <w:szCs w:val="21"/>
              </w:rPr>
            </w:pPr>
            <w:r>
              <w:rPr>
                <w:rFonts w:hint="eastAsia" w:ascii="宋体" w:hAnsi="宋体" w:eastAsia="宋体" w:cs="宋体"/>
                <w:sz w:val="21"/>
                <w:szCs w:val="21"/>
              </w:rPr>
              <w:t>2.批评教育未成年人父母不履行规定职责的行为。</w:t>
            </w:r>
          </w:p>
          <w:p w14:paraId="7E9B0DAB">
            <w:pPr>
              <w:spacing w:line="320" w:lineRule="exact"/>
              <w:rPr>
                <w:rFonts w:ascii="宋体" w:hAnsi="宋体" w:eastAsia="宋体" w:cs="宋体"/>
                <w:sz w:val="21"/>
                <w:szCs w:val="21"/>
              </w:rPr>
            </w:pPr>
            <w:r>
              <w:rPr>
                <w:rFonts w:hint="eastAsia" w:ascii="宋体" w:hAnsi="宋体" w:eastAsia="宋体" w:cs="宋体"/>
                <w:sz w:val="21"/>
                <w:szCs w:val="21"/>
              </w:rPr>
              <w:t>3.将家庭教育纳入社区教育内容，协助家庭教育指导服务站点开展家庭教育指导服务。</w:t>
            </w:r>
          </w:p>
        </w:tc>
        <w:tc>
          <w:tcPr>
            <w:tcW w:w="1404" w:type="dxa"/>
            <w:tcBorders>
              <w:top w:val="single" w:color="auto" w:sz="4" w:space="0"/>
              <w:left w:val="single" w:color="auto" w:sz="4" w:space="0"/>
              <w:bottom w:val="single" w:color="auto" w:sz="4" w:space="0"/>
              <w:right w:val="single" w:color="auto" w:sz="4" w:space="0"/>
            </w:tcBorders>
            <w:vAlign w:val="center"/>
          </w:tcPr>
          <w:p w14:paraId="4B2F14F3">
            <w:pPr>
              <w:spacing w:line="320" w:lineRule="exact"/>
              <w:jc w:val="left"/>
              <w:rPr>
                <w:rFonts w:ascii="宋体" w:hAnsi="宋体" w:eastAsia="宋体" w:cs="宋体"/>
                <w:sz w:val="21"/>
                <w:szCs w:val="21"/>
              </w:rPr>
            </w:pPr>
            <w:r>
              <w:rPr>
                <w:rFonts w:hint="eastAsia" w:ascii="宋体" w:hAnsi="宋体" w:eastAsia="宋体" w:cs="宋体"/>
                <w:sz w:val="21"/>
                <w:szCs w:val="21"/>
              </w:rPr>
              <w:t>《重庆市家庭教育促进条例》第四十条</w:t>
            </w:r>
          </w:p>
        </w:tc>
        <w:tc>
          <w:tcPr>
            <w:tcW w:w="900" w:type="dxa"/>
            <w:tcBorders>
              <w:top w:val="single" w:color="auto" w:sz="4" w:space="0"/>
              <w:left w:val="single" w:color="auto" w:sz="4" w:space="0"/>
              <w:bottom w:val="single" w:color="auto" w:sz="4" w:space="0"/>
              <w:right w:val="single" w:color="auto" w:sz="4" w:space="0"/>
            </w:tcBorders>
            <w:vAlign w:val="center"/>
          </w:tcPr>
          <w:p w14:paraId="0746AFF6">
            <w:pPr>
              <w:spacing w:line="320" w:lineRule="exact"/>
              <w:jc w:val="left"/>
              <w:rPr>
                <w:rFonts w:ascii="宋体" w:hAnsi="宋体" w:eastAsia="宋体" w:cs="宋体"/>
                <w:sz w:val="21"/>
                <w:szCs w:val="21"/>
              </w:rPr>
            </w:pPr>
            <w:r>
              <w:rPr>
                <w:rFonts w:hint="eastAsia" w:ascii="宋体" w:hAnsi="宋体" w:eastAsia="宋体" w:cs="宋体"/>
                <w:sz w:val="21"/>
                <w:szCs w:val="21"/>
              </w:rPr>
              <w:t>相关部门</w:t>
            </w:r>
          </w:p>
        </w:tc>
        <w:tc>
          <w:tcPr>
            <w:tcW w:w="686" w:type="dxa"/>
            <w:tcBorders>
              <w:top w:val="single" w:color="auto" w:sz="4" w:space="0"/>
              <w:left w:val="single" w:color="auto" w:sz="4" w:space="0"/>
              <w:bottom w:val="single" w:color="auto" w:sz="4" w:space="0"/>
              <w:right w:val="single" w:color="auto" w:sz="4" w:space="0"/>
            </w:tcBorders>
            <w:vAlign w:val="center"/>
          </w:tcPr>
          <w:p w14:paraId="3EA81570">
            <w:pPr>
              <w:spacing w:line="320" w:lineRule="exact"/>
              <w:rPr>
                <w:rFonts w:ascii="宋体" w:hAnsi="宋体" w:eastAsia="宋体" w:cs="宋体"/>
                <w:sz w:val="21"/>
                <w:szCs w:val="21"/>
              </w:rPr>
            </w:pPr>
          </w:p>
        </w:tc>
      </w:tr>
      <w:tr w14:paraId="79ECA483">
        <w:tblPrEx>
          <w:tblCellMar>
            <w:top w:w="15" w:type="dxa"/>
            <w:left w:w="15" w:type="dxa"/>
            <w:bottom w:w="15" w:type="dxa"/>
            <w:right w:w="15" w:type="dxa"/>
          </w:tblCellMar>
        </w:tblPrEx>
        <w:trPr>
          <w:trHeight w:val="957" w:hRule="atLeast"/>
          <w:jc w:val="center"/>
        </w:trPr>
        <w:tc>
          <w:tcPr>
            <w:tcW w:w="808" w:type="dxa"/>
            <w:tcBorders>
              <w:top w:val="single" w:color="auto" w:sz="4" w:space="0"/>
              <w:left w:val="single" w:color="auto" w:sz="4" w:space="0"/>
              <w:bottom w:val="single" w:color="auto" w:sz="4" w:space="0"/>
              <w:right w:val="single" w:color="auto" w:sz="4" w:space="0"/>
            </w:tcBorders>
            <w:vAlign w:val="center"/>
          </w:tcPr>
          <w:p w14:paraId="1E2D9DD3">
            <w:pPr>
              <w:spacing w:line="320" w:lineRule="exact"/>
              <w:jc w:val="center"/>
              <w:rPr>
                <w:rFonts w:ascii="宋体" w:hAnsi="宋体" w:eastAsia="宋体" w:cs="宋体"/>
                <w:sz w:val="21"/>
                <w:szCs w:val="21"/>
              </w:rPr>
            </w:pPr>
            <w:r>
              <w:rPr>
                <w:rFonts w:hint="eastAsia" w:ascii="宋体" w:hAnsi="宋体" w:eastAsia="宋体" w:cs="宋体"/>
                <w:sz w:val="21"/>
                <w:szCs w:val="21"/>
              </w:rPr>
              <w:t>25</w:t>
            </w:r>
          </w:p>
        </w:tc>
        <w:tc>
          <w:tcPr>
            <w:tcW w:w="1314" w:type="dxa"/>
            <w:tcBorders>
              <w:top w:val="single" w:color="auto" w:sz="4" w:space="0"/>
              <w:left w:val="single" w:color="auto" w:sz="4" w:space="0"/>
              <w:bottom w:val="single" w:color="auto" w:sz="4" w:space="0"/>
              <w:right w:val="single" w:color="auto" w:sz="4" w:space="0"/>
            </w:tcBorders>
            <w:vAlign w:val="center"/>
          </w:tcPr>
          <w:p w14:paraId="20348D84">
            <w:pPr>
              <w:widowControl/>
              <w:spacing w:line="320" w:lineRule="exact"/>
              <w:textAlignment w:val="center"/>
              <w:rPr>
                <w:rFonts w:ascii="宋体" w:hAnsi="宋体" w:eastAsia="宋体" w:cs="宋体"/>
                <w:sz w:val="21"/>
                <w:szCs w:val="21"/>
              </w:rPr>
            </w:pPr>
            <w:r>
              <w:rPr>
                <w:rFonts w:hint="eastAsia" w:ascii="宋体" w:hAnsi="宋体" w:eastAsia="宋体" w:cs="宋体"/>
                <w:kern w:val="0"/>
                <w:sz w:val="21"/>
                <w:szCs w:val="21"/>
              </w:rPr>
              <w:t>协助做好未成年人保护工作</w:t>
            </w:r>
          </w:p>
        </w:tc>
        <w:tc>
          <w:tcPr>
            <w:tcW w:w="1802" w:type="dxa"/>
            <w:tcBorders>
              <w:top w:val="single" w:color="auto" w:sz="4" w:space="0"/>
              <w:left w:val="single" w:color="auto" w:sz="4" w:space="0"/>
              <w:bottom w:val="single" w:color="auto" w:sz="4" w:space="0"/>
              <w:right w:val="single" w:color="auto" w:sz="4" w:space="0"/>
            </w:tcBorders>
            <w:vAlign w:val="center"/>
          </w:tcPr>
          <w:p w14:paraId="369D5F78">
            <w:pPr>
              <w:widowControl/>
              <w:spacing w:line="320" w:lineRule="exact"/>
              <w:jc w:val="left"/>
              <w:textAlignment w:val="center"/>
              <w:rPr>
                <w:rFonts w:ascii="宋体" w:hAnsi="宋体" w:eastAsia="宋体" w:cs="宋体"/>
                <w:sz w:val="21"/>
                <w:szCs w:val="21"/>
              </w:rPr>
            </w:pPr>
            <w:r>
              <w:rPr>
                <w:rFonts w:hint="eastAsia" w:ascii="宋体" w:hAnsi="宋体" w:eastAsia="宋体" w:cs="宋体"/>
                <w:kern w:val="0"/>
                <w:sz w:val="21"/>
                <w:szCs w:val="21"/>
              </w:rPr>
              <w:t>协助有关部门教育和挽救违法犯罪的未成年人，预防和制止侵害未成年人合法权益的违法犯罪行为。</w:t>
            </w:r>
          </w:p>
        </w:tc>
        <w:tc>
          <w:tcPr>
            <w:tcW w:w="7846" w:type="dxa"/>
            <w:tcBorders>
              <w:top w:val="single" w:color="auto" w:sz="4" w:space="0"/>
              <w:left w:val="single" w:color="auto" w:sz="4" w:space="0"/>
              <w:bottom w:val="single" w:color="auto" w:sz="4" w:space="0"/>
              <w:right w:val="single" w:color="auto" w:sz="4" w:space="0"/>
            </w:tcBorders>
            <w:vAlign w:val="center"/>
          </w:tcPr>
          <w:p w14:paraId="65F28088">
            <w:pPr>
              <w:adjustRightInd w:val="0"/>
              <w:snapToGrid w:val="0"/>
              <w:rPr>
                <w:rFonts w:ascii="宋体" w:hAnsi="宋体" w:eastAsia="宋体" w:cs="宋体"/>
                <w:sz w:val="21"/>
                <w:szCs w:val="21"/>
              </w:rPr>
            </w:pPr>
            <w:r>
              <w:rPr>
                <w:rFonts w:hint="eastAsia" w:ascii="宋体" w:hAnsi="宋体" w:eastAsia="宋体" w:cs="宋体"/>
                <w:sz w:val="21"/>
                <w:szCs w:val="21"/>
              </w:rPr>
              <w:t>1.发现未成年人身心健康受到侵害、疑似受到侵害或者面临其他危险情形的，应当立即向公安、民政、教育等有关部门报告。</w:t>
            </w:r>
          </w:p>
          <w:p w14:paraId="5C31F532">
            <w:pPr>
              <w:adjustRightInd w:val="0"/>
              <w:snapToGrid w:val="0"/>
              <w:rPr>
                <w:rFonts w:ascii="宋体" w:hAnsi="宋体" w:eastAsia="宋体" w:cs="宋体"/>
                <w:sz w:val="21"/>
                <w:szCs w:val="21"/>
              </w:rPr>
            </w:pPr>
            <w:r>
              <w:rPr>
                <w:rFonts w:hint="eastAsia" w:ascii="宋体" w:hAnsi="宋体" w:eastAsia="宋体" w:cs="宋体"/>
                <w:sz w:val="21"/>
                <w:szCs w:val="21"/>
              </w:rPr>
              <w:t>2.应当设置专人专岗负责未成年人保护工作，协助政府有关部门宣传未成年人保护方面的法律法规，指导、帮助和监督未成年人的父母或者其他监护人依法履行监护职责，建立留守未成年人、困境未成年人的信息档案并给予关爱帮扶。</w:t>
            </w:r>
          </w:p>
          <w:p w14:paraId="582DFBB5">
            <w:pPr>
              <w:adjustRightInd w:val="0"/>
              <w:snapToGrid w:val="0"/>
              <w:rPr>
                <w:rFonts w:ascii="宋体" w:hAnsi="宋体" w:eastAsia="宋体" w:cs="宋体"/>
                <w:sz w:val="21"/>
                <w:szCs w:val="21"/>
              </w:rPr>
            </w:pPr>
            <w:r>
              <w:rPr>
                <w:rFonts w:hint="eastAsia" w:ascii="宋体" w:hAnsi="宋体" w:eastAsia="宋体" w:cs="宋体"/>
                <w:sz w:val="21"/>
                <w:szCs w:val="21"/>
              </w:rPr>
              <w:t>3.应当协助政府有关部门监督未成年人委托照护情况，发现被委托人缺乏照护能力、怠于履行照护职责等情况，应当及时向政府有关部门报告，并告知未成年人的父母或者其他监护人，帮助、督促被委托人履行照护职责。</w:t>
            </w:r>
          </w:p>
          <w:p w14:paraId="6C8E4ACB">
            <w:pPr>
              <w:adjustRightInd w:val="0"/>
              <w:snapToGrid w:val="0"/>
              <w:rPr>
                <w:rFonts w:ascii="宋体" w:hAnsi="宋体" w:eastAsia="宋体" w:cs="宋体"/>
                <w:sz w:val="21"/>
                <w:szCs w:val="21"/>
              </w:rPr>
            </w:pPr>
            <w:r>
              <w:rPr>
                <w:rFonts w:hint="eastAsia" w:ascii="宋体" w:hAnsi="宋体" w:eastAsia="宋体" w:cs="宋体"/>
                <w:sz w:val="21"/>
                <w:szCs w:val="21"/>
              </w:rPr>
              <w:t>4.对不依法履行监护职责或者侵犯未成年人合法权益的未成年人的父母或者其他监护人予以劝诫、制止，情况严重的应当及时向公安机关报告。</w:t>
            </w:r>
          </w:p>
          <w:p w14:paraId="6C97ECF0">
            <w:pPr>
              <w:adjustRightInd w:val="0"/>
              <w:snapToGrid w:val="0"/>
              <w:rPr>
                <w:rFonts w:ascii="宋体" w:hAnsi="宋体" w:eastAsia="宋体" w:cs="宋体"/>
                <w:sz w:val="21"/>
                <w:szCs w:val="21"/>
              </w:rPr>
            </w:pPr>
            <w:r>
              <w:rPr>
                <w:rFonts w:hint="eastAsia" w:ascii="宋体" w:hAnsi="宋体" w:eastAsia="宋体" w:cs="宋体"/>
                <w:sz w:val="21"/>
                <w:szCs w:val="21"/>
              </w:rPr>
              <w:t>5.应当积极开展有针对性的预防未成年人犯罪的法制宣传活动，使村（居）民知法、懂法、守法、用法。</w:t>
            </w:r>
          </w:p>
          <w:p w14:paraId="1A82B136">
            <w:pPr>
              <w:adjustRightInd w:val="0"/>
              <w:snapToGrid w:val="0"/>
              <w:rPr>
                <w:rFonts w:ascii="宋体" w:hAnsi="宋体" w:eastAsia="宋体" w:cs="宋体"/>
                <w:sz w:val="21"/>
                <w:szCs w:val="21"/>
              </w:rPr>
            </w:pPr>
            <w:r>
              <w:rPr>
                <w:rFonts w:hint="eastAsia" w:ascii="宋体" w:hAnsi="宋体" w:eastAsia="宋体" w:cs="宋体"/>
                <w:sz w:val="21"/>
                <w:szCs w:val="21"/>
              </w:rPr>
              <w:t>6.应当协助公安机关做好维护中小学校周围治安的工作。</w:t>
            </w:r>
          </w:p>
          <w:p w14:paraId="71144851">
            <w:pPr>
              <w:adjustRightInd w:val="0"/>
              <w:snapToGrid w:val="0"/>
              <w:rPr>
                <w:rFonts w:ascii="宋体" w:hAnsi="宋体" w:eastAsia="宋体" w:cs="宋体"/>
                <w:sz w:val="21"/>
                <w:szCs w:val="21"/>
              </w:rPr>
            </w:pPr>
            <w:r>
              <w:rPr>
                <w:rFonts w:hint="eastAsia" w:ascii="宋体" w:hAnsi="宋体" w:eastAsia="宋体" w:cs="宋体"/>
                <w:sz w:val="21"/>
                <w:szCs w:val="21"/>
              </w:rPr>
              <w:t>7.掌握本辖区内暂住人口中未成年人的就学、就业情况，对暂住人口中未成年人实施不良行为，应当督促其父母或者其他监护人进行有效教育、制止。</w:t>
            </w:r>
          </w:p>
          <w:p w14:paraId="701144F1">
            <w:pPr>
              <w:adjustRightInd w:val="0"/>
              <w:snapToGrid w:val="0"/>
              <w:rPr>
                <w:rFonts w:ascii="宋体" w:hAnsi="宋体" w:eastAsia="宋体" w:cs="宋体"/>
                <w:sz w:val="21"/>
                <w:szCs w:val="21"/>
              </w:rPr>
            </w:pPr>
            <w:r>
              <w:rPr>
                <w:rFonts w:hint="eastAsia" w:ascii="宋体" w:hAnsi="宋体" w:eastAsia="宋体" w:cs="宋体"/>
                <w:sz w:val="21"/>
                <w:szCs w:val="21"/>
              </w:rPr>
              <w:t>8.接受被父母或者其他监护人遗弃、虐待的未成年人提出的保护请求，根据情况采取必要救助措施。</w:t>
            </w:r>
          </w:p>
          <w:p w14:paraId="181A1D81">
            <w:pPr>
              <w:adjustRightInd w:val="0"/>
              <w:snapToGrid w:val="0"/>
              <w:rPr>
                <w:rFonts w:ascii="宋体" w:hAnsi="宋体" w:eastAsia="宋体" w:cs="宋体"/>
                <w:sz w:val="21"/>
                <w:szCs w:val="21"/>
              </w:rPr>
            </w:pPr>
            <w:r>
              <w:rPr>
                <w:rFonts w:hint="eastAsia" w:ascii="宋体" w:hAnsi="宋体" w:eastAsia="宋体" w:cs="宋体"/>
                <w:sz w:val="21"/>
                <w:szCs w:val="21"/>
              </w:rPr>
              <w:t>9.协助司法机关做好对未成年人的教育、挽救工作。</w:t>
            </w:r>
          </w:p>
        </w:tc>
        <w:tc>
          <w:tcPr>
            <w:tcW w:w="1404" w:type="dxa"/>
            <w:tcBorders>
              <w:top w:val="single" w:color="auto" w:sz="4" w:space="0"/>
              <w:left w:val="single" w:color="auto" w:sz="4" w:space="0"/>
              <w:bottom w:val="single" w:color="auto" w:sz="4" w:space="0"/>
              <w:right w:val="single" w:color="auto" w:sz="4" w:space="0"/>
            </w:tcBorders>
            <w:vAlign w:val="center"/>
          </w:tcPr>
          <w:p w14:paraId="2AC29BB9">
            <w:pPr>
              <w:spacing w:line="320" w:lineRule="exact"/>
              <w:jc w:val="left"/>
              <w:rPr>
                <w:rFonts w:ascii="宋体" w:hAnsi="宋体" w:eastAsia="宋体" w:cs="宋体"/>
                <w:sz w:val="21"/>
                <w:szCs w:val="21"/>
              </w:rPr>
            </w:pPr>
            <w:r>
              <w:rPr>
                <w:rFonts w:hint="eastAsia" w:ascii="宋体" w:hAnsi="宋体" w:eastAsia="宋体" w:cs="宋体"/>
                <w:sz w:val="21"/>
                <w:szCs w:val="21"/>
              </w:rPr>
              <w:t>《中华人民共和国未成年人保护法》（2020年10月17日第十三届全国人民代表大会常务委员会第二十二次会议第二次修订）第十一条、第四十三条、第一百一十八条</w:t>
            </w:r>
          </w:p>
          <w:p w14:paraId="082577D3">
            <w:pPr>
              <w:pStyle w:val="2"/>
              <w:spacing w:before="0" w:after="0" w:line="320" w:lineRule="exact"/>
              <w:rPr>
                <w:rFonts w:ascii="宋体" w:hAnsi="宋体" w:eastAsia="宋体" w:cs="宋体"/>
                <w:sz w:val="21"/>
                <w:szCs w:val="21"/>
              </w:rPr>
            </w:pPr>
            <w:r>
              <w:rPr>
                <w:rFonts w:hint="eastAsia" w:ascii="宋体" w:hAnsi="宋体" w:eastAsia="宋体" w:cs="宋体"/>
                <w:b w:val="0"/>
                <w:bCs w:val="0"/>
                <w:sz w:val="21"/>
                <w:szCs w:val="21"/>
              </w:rPr>
              <w:t>《中华人民共和国预防未成年人犯罪法》（2020年12月26日第十三届全国人民代表大会常务委员会第二十四次会议修订）第四条、第二十五条、第三十条、三十九条、第四十二条、第五十六条、第五十七条</w:t>
            </w:r>
          </w:p>
        </w:tc>
        <w:tc>
          <w:tcPr>
            <w:tcW w:w="900" w:type="dxa"/>
            <w:tcBorders>
              <w:top w:val="single" w:color="auto" w:sz="4" w:space="0"/>
              <w:left w:val="single" w:color="auto" w:sz="4" w:space="0"/>
              <w:bottom w:val="single" w:color="auto" w:sz="4" w:space="0"/>
              <w:right w:val="single" w:color="auto" w:sz="4" w:space="0"/>
            </w:tcBorders>
            <w:vAlign w:val="center"/>
          </w:tcPr>
          <w:p w14:paraId="690F74A5">
            <w:pPr>
              <w:spacing w:line="320" w:lineRule="exact"/>
              <w:jc w:val="left"/>
              <w:rPr>
                <w:rFonts w:ascii="宋体" w:hAnsi="宋体" w:eastAsia="宋体" w:cs="宋体"/>
                <w:sz w:val="21"/>
                <w:szCs w:val="21"/>
              </w:rPr>
            </w:pPr>
            <w:r>
              <w:rPr>
                <w:rFonts w:hint="eastAsia" w:ascii="宋体" w:hAnsi="宋体" w:eastAsia="宋体" w:cs="宋体"/>
                <w:sz w:val="21"/>
                <w:szCs w:val="21"/>
              </w:rPr>
              <w:t>相关部门</w:t>
            </w:r>
          </w:p>
        </w:tc>
        <w:tc>
          <w:tcPr>
            <w:tcW w:w="686" w:type="dxa"/>
            <w:tcBorders>
              <w:top w:val="single" w:color="auto" w:sz="4" w:space="0"/>
              <w:left w:val="single" w:color="auto" w:sz="4" w:space="0"/>
              <w:bottom w:val="single" w:color="auto" w:sz="4" w:space="0"/>
              <w:right w:val="single" w:color="auto" w:sz="4" w:space="0"/>
            </w:tcBorders>
            <w:vAlign w:val="center"/>
          </w:tcPr>
          <w:p w14:paraId="3B44E877">
            <w:pPr>
              <w:spacing w:line="320" w:lineRule="exact"/>
              <w:rPr>
                <w:rFonts w:ascii="宋体" w:hAnsi="宋体" w:eastAsia="宋体" w:cs="宋体"/>
                <w:sz w:val="21"/>
                <w:szCs w:val="21"/>
              </w:rPr>
            </w:pPr>
          </w:p>
        </w:tc>
      </w:tr>
      <w:tr w14:paraId="38692B33">
        <w:tblPrEx>
          <w:tblCellMar>
            <w:top w:w="15" w:type="dxa"/>
            <w:left w:w="15" w:type="dxa"/>
            <w:bottom w:w="15" w:type="dxa"/>
            <w:right w:w="15" w:type="dxa"/>
          </w:tblCellMar>
        </w:tblPrEx>
        <w:trPr>
          <w:trHeight w:val="1474" w:hRule="atLeast"/>
          <w:jc w:val="center"/>
        </w:trPr>
        <w:tc>
          <w:tcPr>
            <w:tcW w:w="808" w:type="dxa"/>
            <w:tcBorders>
              <w:top w:val="single" w:color="auto" w:sz="4" w:space="0"/>
              <w:left w:val="single" w:color="auto" w:sz="4" w:space="0"/>
              <w:bottom w:val="single" w:color="auto" w:sz="4" w:space="0"/>
              <w:right w:val="single" w:color="auto" w:sz="4" w:space="0"/>
            </w:tcBorders>
            <w:vAlign w:val="center"/>
          </w:tcPr>
          <w:p w14:paraId="2E6B5748">
            <w:pPr>
              <w:spacing w:line="320" w:lineRule="exact"/>
              <w:jc w:val="center"/>
              <w:rPr>
                <w:rFonts w:ascii="宋体" w:hAnsi="宋体" w:eastAsia="宋体" w:cs="宋体"/>
                <w:sz w:val="21"/>
                <w:szCs w:val="21"/>
              </w:rPr>
            </w:pPr>
            <w:r>
              <w:rPr>
                <w:rFonts w:hint="eastAsia" w:ascii="宋体" w:hAnsi="宋体" w:eastAsia="宋体" w:cs="宋体"/>
                <w:sz w:val="21"/>
                <w:szCs w:val="21"/>
              </w:rPr>
              <w:t>26</w:t>
            </w:r>
          </w:p>
        </w:tc>
        <w:tc>
          <w:tcPr>
            <w:tcW w:w="1314" w:type="dxa"/>
            <w:tcBorders>
              <w:top w:val="single" w:color="auto" w:sz="4" w:space="0"/>
              <w:left w:val="single" w:color="auto" w:sz="4" w:space="0"/>
              <w:bottom w:val="single" w:color="auto" w:sz="4" w:space="0"/>
              <w:right w:val="single" w:color="auto" w:sz="4" w:space="0"/>
            </w:tcBorders>
            <w:vAlign w:val="center"/>
          </w:tcPr>
          <w:p w14:paraId="4FC0EFF8">
            <w:pPr>
              <w:widowControl/>
              <w:spacing w:line="320" w:lineRule="exact"/>
              <w:textAlignment w:val="center"/>
              <w:rPr>
                <w:rFonts w:ascii="宋体" w:hAnsi="宋体" w:eastAsia="宋体" w:cs="宋体"/>
                <w:sz w:val="21"/>
                <w:szCs w:val="21"/>
              </w:rPr>
            </w:pPr>
            <w:r>
              <w:rPr>
                <w:rFonts w:hint="eastAsia" w:ascii="宋体" w:hAnsi="宋体" w:eastAsia="宋体" w:cs="宋体"/>
                <w:kern w:val="0"/>
                <w:sz w:val="21"/>
                <w:szCs w:val="21"/>
              </w:rPr>
              <w:t>协助做好反家庭暴力工作</w:t>
            </w:r>
          </w:p>
        </w:tc>
        <w:tc>
          <w:tcPr>
            <w:tcW w:w="1802" w:type="dxa"/>
            <w:tcBorders>
              <w:top w:val="single" w:color="auto" w:sz="4" w:space="0"/>
              <w:left w:val="single" w:color="auto" w:sz="4" w:space="0"/>
              <w:bottom w:val="single" w:color="auto" w:sz="4" w:space="0"/>
              <w:right w:val="single" w:color="auto" w:sz="4" w:space="0"/>
            </w:tcBorders>
            <w:vAlign w:val="center"/>
          </w:tcPr>
          <w:p w14:paraId="4851E289">
            <w:pPr>
              <w:spacing w:line="320" w:lineRule="exact"/>
            </w:pPr>
            <w:r>
              <w:rPr>
                <w:rFonts w:hint="eastAsia" w:ascii="宋体" w:hAnsi="宋体" w:eastAsia="宋体" w:cs="宋体"/>
                <w:sz w:val="21"/>
                <w:szCs w:val="21"/>
              </w:rPr>
              <w:t>协助有关部门做好家庭暴力的预防、处置等工作，履行强制报告职责。</w:t>
            </w:r>
          </w:p>
        </w:tc>
        <w:tc>
          <w:tcPr>
            <w:tcW w:w="7846" w:type="dxa"/>
            <w:tcBorders>
              <w:top w:val="single" w:color="auto" w:sz="4" w:space="0"/>
              <w:left w:val="single" w:color="auto" w:sz="4" w:space="0"/>
              <w:bottom w:val="single" w:color="auto" w:sz="4" w:space="0"/>
              <w:right w:val="single" w:color="auto" w:sz="4" w:space="0"/>
            </w:tcBorders>
            <w:vAlign w:val="center"/>
          </w:tcPr>
          <w:p w14:paraId="4C8E462E">
            <w:pPr>
              <w:numPr>
                <w:ilvl w:val="0"/>
                <w:numId w:val="4"/>
              </w:numPr>
              <w:adjustRightInd w:val="0"/>
              <w:snapToGrid w:val="0"/>
              <w:rPr>
                <w:rFonts w:ascii="宋体" w:hAnsi="宋体" w:eastAsia="宋体" w:cs="宋体"/>
                <w:sz w:val="21"/>
                <w:szCs w:val="21"/>
              </w:rPr>
            </w:pPr>
            <w:r>
              <w:rPr>
                <w:rFonts w:hint="eastAsia" w:ascii="宋体" w:hAnsi="宋体" w:eastAsia="宋体" w:cs="宋体"/>
                <w:sz w:val="21"/>
                <w:szCs w:val="21"/>
              </w:rPr>
              <w:t>发现无民事行为能力人、限制民事行为能力人遭受或者疑似遭受家庭暴力的，应当及时向公安机关报案。</w:t>
            </w:r>
          </w:p>
          <w:p w14:paraId="3284E691">
            <w:pPr>
              <w:numPr>
                <w:ilvl w:val="0"/>
                <w:numId w:val="4"/>
              </w:numPr>
              <w:adjustRightInd w:val="0"/>
              <w:snapToGrid w:val="0"/>
              <w:rPr>
                <w:rFonts w:ascii="宋体" w:hAnsi="宋体" w:eastAsia="宋体" w:cs="宋体"/>
                <w:sz w:val="21"/>
                <w:szCs w:val="21"/>
              </w:rPr>
            </w:pPr>
            <w:r>
              <w:rPr>
                <w:rFonts w:hint="eastAsia" w:ascii="宋体" w:hAnsi="宋体" w:eastAsia="宋体" w:cs="宋体"/>
                <w:sz w:val="21"/>
                <w:szCs w:val="21"/>
              </w:rPr>
              <w:t>对收到告诫书的加害人、受害人进行查访，监督加害人不再实施家庭暴力。</w:t>
            </w:r>
          </w:p>
          <w:p w14:paraId="69CCA00E">
            <w:pPr>
              <w:numPr>
                <w:ilvl w:val="0"/>
                <w:numId w:val="4"/>
              </w:numPr>
              <w:adjustRightInd w:val="0"/>
              <w:snapToGrid w:val="0"/>
              <w:rPr>
                <w:rFonts w:ascii="宋体" w:hAnsi="宋体" w:eastAsia="宋体" w:cs="宋体"/>
                <w:sz w:val="21"/>
                <w:szCs w:val="21"/>
              </w:rPr>
            </w:pPr>
            <w:r>
              <w:rPr>
                <w:rFonts w:hint="eastAsia" w:ascii="宋体" w:hAnsi="宋体" w:eastAsia="宋体" w:cs="宋体"/>
                <w:sz w:val="21"/>
                <w:szCs w:val="21"/>
              </w:rPr>
              <w:t>对实施家庭暴力的加害人进行法治教育，必要时可以对加害人、受害人进行心理辅导。</w:t>
            </w:r>
          </w:p>
        </w:tc>
        <w:tc>
          <w:tcPr>
            <w:tcW w:w="1404" w:type="dxa"/>
            <w:tcBorders>
              <w:top w:val="single" w:color="auto" w:sz="4" w:space="0"/>
              <w:left w:val="single" w:color="auto" w:sz="4" w:space="0"/>
              <w:bottom w:val="single" w:color="auto" w:sz="4" w:space="0"/>
              <w:right w:val="single" w:color="auto" w:sz="4" w:space="0"/>
            </w:tcBorders>
            <w:vAlign w:val="center"/>
          </w:tcPr>
          <w:p w14:paraId="23ABF85E">
            <w:pPr>
              <w:spacing w:line="320" w:lineRule="exact"/>
              <w:jc w:val="left"/>
              <w:rPr>
                <w:rFonts w:ascii="宋体" w:hAnsi="宋体" w:eastAsia="宋体" w:cs="宋体"/>
                <w:sz w:val="21"/>
                <w:szCs w:val="21"/>
              </w:rPr>
            </w:pPr>
            <w:r>
              <w:rPr>
                <w:rFonts w:hint="eastAsia" w:ascii="宋体" w:hAnsi="宋体" w:eastAsia="宋体" w:cs="宋体"/>
                <w:sz w:val="21"/>
                <w:szCs w:val="21"/>
              </w:rPr>
              <w:t>《中华人民共和国反家庭暴力法》第四条、第二款、第八条、第十三条、第十四条、第三十五条</w:t>
            </w:r>
          </w:p>
        </w:tc>
        <w:tc>
          <w:tcPr>
            <w:tcW w:w="900" w:type="dxa"/>
            <w:tcBorders>
              <w:top w:val="single" w:color="auto" w:sz="4" w:space="0"/>
              <w:left w:val="single" w:color="auto" w:sz="4" w:space="0"/>
              <w:bottom w:val="single" w:color="auto" w:sz="4" w:space="0"/>
              <w:right w:val="single" w:color="auto" w:sz="4" w:space="0"/>
            </w:tcBorders>
            <w:vAlign w:val="center"/>
          </w:tcPr>
          <w:p w14:paraId="2760221F">
            <w:pPr>
              <w:spacing w:line="320" w:lineRule="exact"/>
              <w:jc w:val="left"/>
              <w:rPr>
                <w:rFonts w:ascii="宋体" w:hAnsi="宋体" w:eastAsia="宋体" w:cs="宋体"/>
                <w:sz w:val="21"/>
                <w:szCs w:val="21"/>
              </w:rPr>
            </w:pPr>
            <w:r>
              <w:rPr>
                <w:rFonts w:hint="eastAsia" w:ascii="宋体" w:hAnsi="宋体" w:eastAsia="宋体" w:cs="宋体"/>
                <w:sz w:val="21"/>
                <w:szCs w:val="21"/>
              </w:rPr>
              <w:t>相关部门</w:t>
            </w:r>
          </w:p>
        </w:tc>
        <w:tc>
          <w:tcPr>
            <w:tcW w:w="686" w:type="dxa"/>
            <w:tcBorders>
              <w:top w:val="single" w:color="auto" w:sz="4" w:space="0"/>
              <w:left w:val="single" w:color="auto" w:sz="4" w:space="0"/>
              <w:bottom w:val="single" w:color="auto" w:sz="4" w:space="0"/>
              <w:right w:val="single" w:color="auto" w:sz="4" w:space="0"/>
            </w:tcBorders>
            <w:vAlign w:val="center"/>
          </w:tcPr>
          <w:p w14:paraId="29A7613D">
            <w:pPr>
              <w:spacing w:line="320" w:lineRule="exact"/>
              <w:rPr>
                <w:rFonts w:ascii="宋体" w:hAnsi="宋体" w:eastAsia="宋体" w:cs="宋体"/>
                <w:sz w:val="21"/>
                <w:szCs w:val="21"/>
              </w:rPr>
            </w:pPr>
          </w:p>
        </w:tc>
      </w:tr>
      <w:tr w14:paraId="30B06C99">
        <w:tblPrEx>
          <w:tblCellMar>
            <w:top w:w="15" w:type="dxa"/>
            <w:left w:w="15" w:type="dxa"/>
            <w:bottom w:w="15" w:type="dxa"/>
            <w:right w:w="15" w:type="dxa"/>
          </w:tblCellMar>
        </w:tblPrEx>
        <w:trPr>
          <w:trHeight w:val="1644" w:hRule="atLeast"/>
          <w:jc w:val="center"/>
        </w:trPr>
        <w:tc>
          <w:tcPr>
            <w:tcW w:w="808" w:type="dxa"/>
            <w:tcBorders>
              <w:top w:val="single" w:color="auto" w:sz="4" w:space="0"/>
              <w:left w:val="single" w:color="auto" w:sz="4" w:space="0"/>
              <w:bottom w:val="single" w:color="auto" w:sz="4" w:space="0"/>
              <w:right w:val="single" w:color="auto" w:sz="4" w:space="0"/>
            </w:tcBorders>
            <w:vAlign w:val="center"/>
          </w:tcPr>
          <w:p w14:paraId="15390B9B">
            <w:pPr>
              <w:spacing w:line="320" w:lineRule="exact"/>
              <w:jc w:val="center"/>
              <w:rPr>
                <w:rFonts w:ascii="宋体" w:hAnsi="宋体" w:eastAsia="宋体" w:cs="宋体"/>
                <w:sz w:val="21"/>
                <w:szCs w:val="21"/>
              </w:rPr>
            </w:pPr>
            <w:r>
              <w:rPr>
                <w:rFonts w:hint="eastAsia" w:ascii="宋体" w:hAnsi="宋体" w:eastAsia="宋体" w:cs="宋体"/>
                <w:sz w:val="21"/>
                <w:szCs w:val="21"/>
              </w:rPr>
              <w:t>27</w:t>
            </w:r>
          </w:p>
        </w:tc>
        <w:tc>
          <w:tcPr>
            <w:tcW w:w="1314" w:type="dxa"/>
            <w:tcBorders>
              <w:top w:val="single" w:color="auto" w:sz="4" w:space="0"/>
              <w:left w:val="single" w:color="auto" w:sz="4" w:space="0"/>
              <w:bottom w:val="single" w:color="auto" w:sz="4" w:space="0"/>
              <w:right w:val="single" w:color="auto" w:sz="4" w:space="0"/>
            </w:tcBorders>
            <w:vAlign w:val="center"/>
          </w:tcPr>
          <w:p w14:paraId="2C900909">
            <w:pPr>
              <w:widowControl/>
              <w:spacing w:line="320" w:lineRule="exact"/>
              <w:textAlignment w:val="center"/>
              <w:rPr>
                <w:rFonts w:ascii="宋体" w:hAnsi="宋体" w:eastAsia="宋体" w:cs="宋体"/>
                <w:sz w:val="21"/>
                <w:szCs w:val="21"/>
              </w:rPr>
            </w:pPr>
            <w:r>
              <w:rPr>
                <w:rFonts w:hint="eastAsia" w:ascii="宋体" w:hAnsi="宋体" w:eastAsia="宋体" w:cs="宋体"/>
                <w:kern w:val="0"/>
                <w:sz w:val="21"/>
                <w:szCs w:val="21"/>
              </w:rPr>
              <w:t>协助做好农民工权益保护、服务和管理工作</w:t>
            </w:r>
          </w:p>
        </w:tc>
        <w:tc>
          <w:tcPr>
            <w:tcW w:w="1802" w:type="dxa"/>
            <w:tcBorders>
              <w:top w:val="single" w:color="auto" w:sz="4" w:space="0"/>
              <w:left w:val="single" w:color="auto" w:sz="4" w:space="0"/>
              <w:bottom w:val="single" w:color="auto" w:sz="4" w:space="0"/>
              <w:right w:val="single" w:color="auto" w:sz="4" w:space="0"/>
            </w:tcBorders>
            <w:vAlign w:val="center"/>
          </w:tcPr>
          <w:p w14:paraId="53A2B992">
            <w:pPr>
              <w:widowControl/>
              <w:adjustRightInd w:val="0"/>
              <w:snapToGrid w:val="0"/>
              <w:jc w:val="left"/>
              <w:textAlignment w:val="center"/>
              <w:rPr>
                <w:rFonts w:ascii="宋体" w:hAnsi="宋体" w:eastAsia="宋体" w:cs="宋体"/>
                <w:sz w:val="21"/>
                <w:szCs w:val="21"/>
              </w:rPr>
            </w:pPr>
            <w:r>
              <w:rPr>
                <w:rFonts w:hint="eastAsia" w:ascii="宋体" w:hAnsi="宋体" w:eastAsia="宋体" w:cs="宋体"/>
                <w:kern w:val="0"/>
                <w:sz w:val="21"/>
                <w:szCs w:val="21"/>
              </w:rPr>
              <w:t>农民工户籍所在地的村委会应当协助提高农民外出务工的组织化程度，开拓劳务市场，收集发布劳务信息，发展订单培训、定向输出。</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农民工务工暂住地的居委会应当协助做好培训教育、治安管理、消防安全、计划生育、妇幼保健、卫生防疫、法律服务、法律援助等工作，免费提供房屋租赁、求职和就业等信息咨询服务。</w:t>
            </w:r>
          </w:p>
        </w:tc>
        <w:tc>
          <w:tcPr>
            <w:tcW w:w="7846" w:type="dxa"/>
            <w:tcBorders>
              <w:top w:val="single" w:color="auto" w:sz="4" w:space="0"/>
              <w:left w:val="single" w:color="auto" w:sz="4" w:space="0"/>
              <w:bottom w:val="single" w:color="auto" w:sz="4" w:space="0"/>
              <w:right w:val="single" w:color="auto" w:sz="4" w:space="0"/>
            </w:tcBorders>
            <w:vAlign w:val="center"/>
          </w:tcPr>
          <w:p w14:paraId="11CF293A">
            <w:pPr>
              <w:pStyle w:val="2"/>
              <w:numPr>
                <w:ilvl w:val="0"/>
                <w:numId w:val="5"/>
              </w:numPr>
              <w:spacing w:before="0" w:after="0" w:line="320" w:lineRule="exact"/>
              <w:rPr>
                <w:rFonts w:ascii="宋体" w:hAnsi="宋体" w:eastAsia="宋体" w:cs="宋体"/>
                <w:b w:val="0"/>
                <w:bCs w:val="0"/>
                <w:sz w:val="21"/>
                <w:szCs w:val="21"/>
              </w:rPr>
            </w:pPr>
            <w:r>
              <w:rPr>
                <w:rFonts w:hint="eastAsia" w:ascii="宋体" w:hAnsi="宋体" w:eastAsia="宋体" w:cs="宋体"/>
                <w:b w:val="0"/>
                <w:bCs w:val="0"/>
                <w:sz w:val="21"/>
                <w:szCs w:val="21"/>
              </w:rPr>
              <w:t>对辖区内就业援助对象进行登记，建立专门台账，动态管理援助对象，实行援助责任制度，提供及时、有效的就业援助。</w:t>
            </w:r>
          </w:p>
          <w:p w14:paraId="087398DB">
            <w:pPr>
              <w:pStyle w:val="2"/>
              <w:numPr>
                <w:ilvl w:val="0"/>
                <w:numId w:val="5"/>
              </w:numPr>
              <w:spacing w:before="0" w:after="0" w:line="320" w:lineRule="exact"/>
              <w:rPr>
                <w:rFonts w:ascii="宋体" w:hAnsi="宋体" w:eastAsia="宋体" w:cs="宋体"/>
                <w:b w:val="0"/>
                <w:bCs w:val="0"/>
                <w:sz w:val="21"/>
                <w:szCs w:val="21"/>
              </w:rPr>
            </w:pPr>
            <w:r>
              <w:rPr>
                <w:rFonts w:hint="eastAsia" w:ascii="宋体" w:hAnsi="宋体" w:eastAsia="宋体" w:cs="宋体"/>
                <w:b w:val="0"/>
                <w:bCs w:val="0"/>
                <w:sz w:val="21"/>
                <w:szCs w:val="21"/>
              </w:rPr>
              <w:t>收集发布用工信息，提供职业介绍服务。</w:t>
            </w:r>
          </w:p>
          <w:p w14:paraId="7C626A7A">
            <w:pPr>
              <w:spacing w:line="320" w:lineRule="exact"/>
              <w:rPr>
                <w:rFonts w:ascii="宋体" w:hAnsi="宋体" w:eastAsia="宋体" w:cs="宋体"/>
                <w:sz w:val="21"/>
                <w:szCs w:val="21"/>
              </w:rPr>
            </w:pPr>
            <w:r>
              <w:rPr>
                <w:rFonts w:hint="eastAsia" w:ascii="宋体" w:hAnsi="宋体" w:eastAsia="宋体" w:cs="宋体"/>
                <w:sz w:val="21"/>
                <w:szCs w:val="21"/>
              </w:rPr>
              <w:t>3.帮扶建卡贫困户、低保户等重点群体就业，促进劳动者实现更高和更充分就业。</w:t>
            </w:r>
          </w:p>
        </w:tc>
        <w:tc>
          <w:tcPr>
            <w:tcW w:w="1404" w:type="dxa"/>
            <w:tcBorders>
              <w:top w:val="single" w:color="auto" w:sz="4" w:space="0"/>
              <w:left w:val="single" w:color="auto" w:sz="4" w:space="0"/>
              <w:bottom w:val="single" w:color="auto" w:sz="4" w:space="0"/>
              <w:right w:val="single" w:color="auto" w:sz="4" w:space="0"/>
            </w:tcBorders>
            <w:vAlign w:val="center"/>
          </w:tcPr>
          <w:p w14:paraId="37FA0857">
            <w:pPr>
              <w:spacing w:line="320" w:lineRule="exact"/>
              <w:jc w:val="left"/>
              <w:rPr>
                <w:rFonts w:ascii="宋体" w:hAnsi="宋体" w:eastAsia="宋体" w:cs="宋体"/>
                <w:sz w:val="21"/>
                <w:szCs w:val="21"/>
              </w:rPr>
            </w:pPr>
            <w:r>
              <w:rPr>
                <w:rFonts w:hint="eastAsia" w:ascii="宋体" w:hAnsi="宋体" w:eastAsia="宋体" w:cs="宋体"/>
                <w:sz w:val="21"/>
                <w:szCs w:val="21"/>
              </w:rPr>
              <w:t>《重庆市进城务工农民权益保护和服务管理办法》第六条、二十三条、第三十八条</w:t>
            </w:r>
          </w:p>
          <w:p w14:paraId="73857856">
            <w:pPr>
              <w:spacing w:line="320" w:lineRule="exact"/>
              <w:jc w:val="left"/>
              <w:rPr>
                <w:rFonts w:ascii="宋体" w:hAnsi="宋体" w:eastAsia="宋体" w:cs="宋体"/>
                <w:sz w:val="21"/>
                <w:szCs w:val="21"/>
              </w:rPr>
            </w:pPr>
            <w:r>
              <w:rPr>
                <w:rFonts w:hint="eastAsia" w:ascii="宋体" w:hAnsi="宋体" w:eastAsia="宋体" w:cs="宋体"/>
                <w:sz w:val="21"/>
                <w:szCs w:val="21"/>
              </w:rPr>
              <w:t>《就业服务与就业管理规定》第三十一条、第四十一条、第四十四条</w:t>
            </w:r>
          </w:p>
        </w:tc>
        <w:tc>
          <w:tcPr>
            <w:tcW w:w="900" w:type="dxa"/>
            <w:tcBorders>
              <w:top w:val="single" w:color="auto" w:sz="4" w:space="0"/>
              <w:left w:val="single" w:color="auto" w:sz="4" w:space="0"/>
              <w:bottom w:val="single" w:color="auto" w:sz="4" w:space="0"/>
              <w:right w:val="single" w:color="auto" w:sz="4" w:space="0"/>
            </w:tcBorders>
            <w:vAlign w:val="center"/>
          </w:tcPr>
          <w:p w14:paraId="3D61488D">
            <w:pPr>
              <w:spacing w:line="320" w:lineRule="exact"/>
              <w:jc w:val="left"/>
              <w:rPr>
                <w:rFonts w:ascii="宋体" w:hAnsi="宋体" w:eastAsia="宋体" w:cs="宋体"/>
                <w:sz w:val="21"/>
                <w:szCs w:val="21"/>
              </w:rPr>
            </w:pPr>
            <w:r>
              <w:rPr>
                <w:rFonts w:hint="eastAsia" w:ascii="宋体" w:hAnsi="宋体" w:eastAsia="宋体" w:cs="宋体"/>
                <w:sz w:val="21"/>
                <w:szCs w:val="21"/>
              </w:rPr>
              <w:t>相关部门</w:t>
            </w:r>
          </w:p>
        </w:tc>
        <w:tc>
          <w:tcPr>
            <w:tcW w:w="686" w:type="dxa"/>
            <w:tcBorders>
              <w:top w:val="single" w:color="auto" w:sz="4" w:space="0"/>
              <w:left w:val="single" w:color="auto" w:sz="4" w:space="0"/>
              <w:bottom w:val="single" w:color="auto" w:sz="4" w:space="0"/>
              <w:right w:val="single" w:color="auto" w:sz="4" w:space="0"/>
            </w:tcBorders>
            <w:vAlign w:val="center"/>
          </w:tcPr>
          <w:p w14:paraId="336B29E3">
            <w:pPr>
              <w:spacing w:line="320" w:lineRule="exact"/>
              <w:rPr>
                <w:rFonts w:ascii="宋体" w:hAnsi="宋体" w:eastAsia="宋体" w:cs="宋体"/>
                <w:sz w:val="21"/>
                <w:szCs w:val="21"/>
              </w:rPr>
            </w:pPr>
          </w:p>
        </w:tc>
      </w:tr>
    </w:tbl>
    <w:p w14:paraId="69D059E1">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42082">
    <w:pPr>
      <w:pStyle w:val="6"/>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58203E">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958203E">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0EAB9D1E">
    <w:pPr>
      <w:pStyle w:val="6"/>
      <w:wordWrap w:val="0"/>
      <w:ind w:left="1626"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重庆市民政局</w:t>
    </w:r>
    <w:r>
      <w:rPr>
        <w:rFonts w:hint="eastAsia" w:ascii="宋体" w:hAnsi="宋体" w:eastAsia="宋体" w:cs="宋体"/>
        <w:b/>
        <w:bCs/>
        <w:color w:val="005192"/>
        <w:sz w:val="28"/>
        <w:szCs w:val="44"/>
        <w:lang w:val="en-US" w:eastAsia="zh-CN"/>
      </w:rPr>
      <w:t xml:space="preserve">发布     </w:t>
    </w:r>
  </w:p>
  <w:p w14:paraId="0356C1D4">
    <w:pPr>
      <w:pStyle w:val="6"/>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5CBDE">
    <w:pPr>
      <w:pStyle w:val="6"/>
      <w:ind w:left="7296"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9D185B">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59D185B">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2A1BDD3B">
    <w:pPr>
      <w:pStyle w:val="6"/>
      <w:ind w:left="7296"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140335</wp:posOffset>
              </wp:positionV>
              <wp:extent cx="87579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7579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89.6pt;z-index:251663360;mso-width-relative:page;mso-height-relative:page;" filled="f" stroked="t" coordsize="21600,21600" o:gfxdata="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7bvYPVAAAA&#10;CQEAAA8AAAAAAAAAAQAgAAAAIgAAAGRycy9kb3ducmV2LnhtbFBLAQIUABQAAAAIAIdO4kDZiBiU&#10;5wEAALQDAAAOAAAAAAAAAAEAIAAAACQBAABkcnMvZTJvRG9jLnhtbFBLBQYAAAAABgAGAFkBAAB9&#10;BQAAAAA=&#10;">
              <v:fill on="f" focussize="0,0"/>
              <v:stroke weight="1.75pt" color="#005192 [3204]" miterlimit="8" joinstyle="miter"/>
              <v:imagedata o:title=""/>
              <o:lock v:ext="edit" aspectratio="f"/>
            </v:line>
          </w:pict>
        </mc:Fallback>
      </mc:AlternateContent>
    </w:r>
  </w:p>
  <w:p w14:paraId="16AACD68">
    <w:pPr>
      <w:pStyle w:val="6"/>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重庆市民政局</w:t>
    </w:r>
    <w:r>
      <w:rPr>
        <w:rFonts w:hint="eastAsia" w:ascii="宋体" w:hAnsi="宋体" w:eastAsia="宋体" w:cs="宋体"/>
        <w:b/>
        <w:bCs/>
        <w:color w:val="005192"/>
        <w:sz w:val="28"/>
        <w:szCs w:val="44"/>
        <w:lang w:val="en-US" w:eastAsia="zh-CN"/>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34D12">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39D54012">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重庆市民政局</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E7B15">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457200</wp:posOffset>
              </wp:positionV>
              <wp:extent cx="8756650" cy="5080"/>
              <wp:effectExtent l="0" t="0" r="0" b="0"/>
              <wp:wrapNone/>
              <wp:docPr id="2" name="直接连接符 2"/>
              <wp:cNvGraphicFramePr/>
              <a:graphic xmlns:a="http://schemas.openxmlformats.org/drawingml/2006/main">
                <a:graphicData uri="http://schemas.microsoft.com/office/word/2010/wordprocessingShape">
                  <wps:wsp>
                    <wps:cNvCnPr/>
                    <wps:spPr>
                      <a:xfrm flipV="1">
                        <a:off x="4133850" y="864870"/>
                        <a:ext cx="8756650" cy="508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2pt;margin-top:36pt;height:0.4pt;width:689.5pt;z-index:251662336;mso-width-relative:page;mso-height-relative:page;" filled="f" stroked="t" coordsize="21600,21600" o:gfxdata="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TCGZtgAAAAIAQAADwAAAAAAAAABACAAAAAiAAAAZHJzL2Rvd25y&#10;ZXYueG1sUEsBAhQAFAAAAAgAh07iQOqGNnf+AQAAygMAAA4AAAAAAAAAAQAgAAAAJwEAAGRycy9l&#10;Mm9Eb2MueG1sUEsFBgAAAAAGAAYAWQEAAJc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重庆市民政局</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singleLevel"/>
    <w:tmpl w:val="00000008"/>
    <w:lvl w:ilvl="0" w:tentative="0">
      <w:start w:val="1"/>
      <w:numFmt w:val="decimal"/>
      <w:suff w:val="nothing"/>
      <w:lvlText w:val="%1."/>
      <w:lvlJc w:val="left"/>
    </w:lvl>
  </w:abstractNum>
  <w:abstractNum w:abstractNumId="1">
    <w:nsid w:val="0000000A"/>
    <w:multiLevelType w:val="singleLevel"/>
    <w:tmpl w:val="0000000A"/>
    <w:lvl w:ilvl="0" w:tentative="0">
      <w:start w:val="1"/>
      <w:numFmt w:val="decimal"/>
      <w:suff w:val="nothing"/>
      <w:lvlText w:val="%1."/>
      <w:lvlJc w:val="left"/>
    </w:lvl>
  </w:abstractNum>
  <w:abstractNum w:abstractNumId="2">
    <w:nsid w:val="5F39EA02"/>
    <w:multiLevelType w:val="singleLevel"/>
    <w:tmpl w:val="5F39EA02"/>
    <w:lvl w:ilvl="0" w:tentative="0">
      <w:start w:val="1"/>
      <w:numFmt w:val="decimal"/>
      <w:suff w:val="nothing"/>
      <w:lvlText w:val="%1."/>
      <w:lvlJc w:val="left"/>
    </w:lvl>
  </w:abstractNum>
  <w:abstractNum w:abstractNumId="3">
    <w:nsid w:val="5F39F305"/>
    <w:multiLevelType w:val="singleLevel"/>
    <w:tmpl w:val="5F39F305"/>
    <w:lvl w:ilvl="0" w:tentative="0">
      <w:start w:val="1"/>
      <w:numFmt w:val="decimal"/>
      <w:suff w:val="nothing"/>
      <w:lvlText w:val="%1."/>
      <w:lvlJc w:val="left"/>
    </w:lvl>
  </w:abstractNum>
  <w:abstractNum w:abstractNumId="4">
    <w:nsid w:val="5F5593EB"/>
    <w:multiLevelType w:val="singleLevel"/>
    <w:tmpl w:val="5F5593EB"/>
    <w:lvl w:ilvl="0" w:tentative="0">
      <w:start w:val="1"/>
      <w:numFmt w:val="decimal"/>
      <w:suff w:val="nothing"/>
      <w:lvlText w:val="%1."/>
      <w:lvlJc w:val="left"/>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848628C"/>
    <w:rsid w:val="4BC77339"/>
    <w:rsid w:val="4C9236C5"/>
    <w:rsid w:val="4D331330"/>
    <w:rsid w:val="4E250A85"/>
    <w:rsid w:val="4FFD4925"/>
    <w:rsid w:val="505C172E"/>
    <w:rsid w:val="506405EA"/>
    <w:rsid w:val="52F46F0B"/>
    <w:rsid w:val="532B6A10"/>
    <w:rsid w:val="539E4E99"/>
    <w:rsid w:val="53D8014D"/>
    <w:rsid w:val="550C209A"/>
    <w:rsid w:val="55E064E0"/>
    <w:rsid w:val="572C6D10"/>
    <w:rsid w:val="5B342585"/>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2"/>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Cs w:val="32"/>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Hyperlink"/>
    <w:basedOn w:val="9"/>
    <w:qFormat/>
    <w:uiPriority w:val="0"/>
    <w:rPr>
      <w:color w:val="0000FF"/>
      <w:u w:val="single"/>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font21"/>
    <w:basedOn w:val="9"/>
    <w:qFormat/>
    <w:uiPriority w:val="0"/>
    <w:rPr>
      <w:rFonts w:hint="eastAsia" w:ascii="宋体" w:hAnsi="宋体" w:eastAsia="宋体" w:cs="宋体"/>
      <w:color w:val="000000"/>
      <w:sz w:val="22"/>
      <w:szCs w:val="22"/>
      <w:u w:val="none"/>
    </w:rPr>
  </w:style>
  <w:style w:type="character" w:customStyle="1" w:styleId="14">
    <w:name w:val="font31"/>
    <w:basedOn w:val="9"/>
    <w:qFormat/>
    <w:uiPriority w:val="0"/>
    <w:rPr>
      <w:rFonts w:ascii="方正仿宋_GBK" w:hAnsi="方正仿宋_GBK" w:eastAsia="方正仿宋_GBK" w:cs="方正仿宋_GBK"/>
      <w:color w:val="000000"/>
      <w:sz w:val="20"/>
      <w:szCs w:val="20"/>
      <w:u w:val="none"/>
    </w:rPr>
  </w:style>
  <w:style w:type="character" w:customStyle="1" w:styleId="15">
    <w:name w:val="font51"/>
    <w:basedOn w:val="9"/>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10955</Words>
  <Characters>11095</Characters>
  <Lines>1</Lines>
  <Paragraphs>1</Paragraphs>
  <TotalTime>1</TotalTime>
  <ScaleCrop>false</ScaleCrop>
  <LinksUpToDate>false</LinksUpToDate>
  <CharactersWithSpaces>11231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木马</cp:lastModifiedBy>
  <cp:lastPrinted>2022-06-06T16:09:00Z</cp:lastPrinted>
  <dcterms:modified xsi:type="dcterms:W3CDTF">2024-11-25T02:05:56Z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48C61CB29D3F4D9384F5922CF0F7FFB4</vt:lpwstr>
  </property>
</Properties>
</file>