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323E">
      <w:pPr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5A588F2C">
      <w:pPr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0DF0E975">
      <w:pPr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065B0E63">
      <w:pPr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69C15B4D">
      <w:pPr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477BDDAB">
      <w:pPr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03E9D38E">
      <w:pPr>
        <w:snapToGrid w:val="0"/>
        <w:spacing w:line="578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渝民〔20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120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 w14:paraId="10810685">
      <w:pPr>
        <w:snapToGrid w:val="0"/>
        <w:spacing w:line="578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34925</wp:posOffset>
                </wp:positionV>
                <wp:extent cx="56007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4pt;margin-top:2.75pt;height:0pt;width:441pt;z-index:251659264;mso-width-relative:page;mso-height-relative:page;" filled="f" stroked="t" coordsize="21600,21600" o:gfxdata="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PwrU0wAAAAUBAAAP&#10;AAAAAAAAAAEAIAAAACIAAABkcnMvZG93bnJldi54bWxQSwECFAAUAAAACACHTuJAzO1Vk+QBAACr&#10;AwAADgAAAAAAAAABACAAAAAiAQAAZHJzL2Uyb0RvYy54bWxQSwUGAAAAAAYABgBZAQAAe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1674411">
      <w:pPr>
        <w:snapToGrid w:val="0"/>
        <w:spacing w:line="578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70034BF">
      <w:pPr>
        <w:adjustRightInd w:val="0"/>
        <w:snapToGrid w:val="0"/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重庆市民政局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重庆市商务委员会</w:t>
      </w:r>
    </w:p>
    <w:p w14:paraId="1031D580">
      <w:pPr>
        <w:adjustRightInd w:val="0"/>
        <w:snapToGrid w:val="0"/>
        <w:spacing w:line="579" w:lineRule="exact"/>
        <w:jc w:val="center"/>
        <w:rPr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关于调整2025年居家适老化改造产品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焕新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补贴有关政策的通知</w:t>
      </w:r>
    </w:p>
    <w:p w14:paraId="6A7B5CC9">
      <w:pPr>
        <w:adjustRightInd w:val="0"/>
        <w:snapToGrid w:val="0"/>
        <w:spacing w:line="579" w:lineRule="exact"/>
        <w:rPr>
          <w:rFonts w:ascii="Nimbus Roman" w:hAnsi="Nimbus Roman" w:cs="Nimbus Roman"/>
          <w:sz w:val="32"/>
          <w:szCs w:val="32"/>
        </w:rPr>
      </w:pPr>
    </w:p>
    <w:p w14:paraId="3BF0EFB6">
      <w:pPr>
        <w:adjustRightInd w:val="0"/>
        <w:snapToGrid w:val="0"/>
        <w:spacing w:line="579" w:lineRule="exact"/>
        <w:rPr>
          <w:rFonts w:ascii="Nimbus Roman" w:hAnsi="Nimbus Roman" w:cs="Nimbus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>各区县（自治县）民政局、商务委，两江新区、西部科学城重庆高新区、万盛经开区有关部门</w:t>
      </w:r>
      <w:r>
        <w:rPr>
          <w:rFonts w:hint="eastAsia" w:ascii="Nimbus Roman" w:hAnsi="Nimbus Roman" w:eastAsia="方正仿宋_GBK" w:cs="Nimbus Roman"/>
          <w:sz w:val="32"/>
          <w:szCs w:val="32"/>
        </w:rPr>
        <w:t>，市级有关行业协会、有关单位</w:t>
      </w:r>
      <w:r>
        <w:rPr>
          <w:rFonts w:ascii="Nimbus Roman" w:hAnsi="Nimbus Roman" w:eastAsia="方正仿宋_GBK" w:cs="Nimbus Roman"/>
          <w:sz w:val="32"/>
          <w:szCs w:val="32"/>
        </w:rPr>
        <w:t>：</w:t>
      </w:r>
    </w:p>
    <w:p w14:paraId="1AC00383">
      <w:pPr>
        <w:adjustRightInd w:val="0"/>
        <w:snapToGrid w:val="0"/>
        <w:spacing w:line="579" w:lineRule="exact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cs="Nimbus Roman"/>
          <w:sz w:val="32"/>
          <w:szCs w:val="32"/>
        </w:rPr>
        <w:t xml:space="preserve">    </w:t>
      </w:r>
      <w:r>
        <w:rPr>
          <w:rFonts w:ascii="Nimbus Roman" w:hAnsi="Nimbus Roman" w:eastAsia="方正仿宋_GBK" w:cs="Nimbus Roman"/>
          <w:sz w:val="32"/>
          <w:szCs w:val="32"/>
        </w:rPr>
        <w:t>为更好满足老年人消费需求，积极促进养老服务消费，充分释放消费潜力，进一步提高政策执行的可操作性，决定对</w:t>
      </w:r>
      <w:r>
        <w:rPr>
          <w:rFonts w:ascii="Times New Roman" w:hAnsi="Times New Roman" w:eastAsia="方正仿宋_GBK" w:cs="Times New Roman"/>
          <w:sz w:val="32"/>
          <w:szCs w:val="32"/>
        </w:rPr>
        <w:t>2025</w:t>
      </w:r>
      <w:r>
        <w:rPr>
          <w:rFonts w:ascii="Nimbus Roman" w:hAnsi="Nimbus Roman" w:eastAsia="方正仿宋_GBK" w:cs="Nimbus Roman"/>
          <w:sz w:val="32"/>
          <w:szCs w:val="32"/>
        </w:rPr>
        <w:t>年重庆市居家适老化改造产品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“</w:t>
      </w:r>
      <w:r>
        <w:rPr>
          <w:rFonts w:ascii="Nimbus Roman" w:hAnsi="Nimbus Roman" w:eastAsia="方正仿宋_GBK" w:cs="Nimbus Roman"/>
          <w:sz w:val="32"/>
          <w:szCs w:val="32"/>
        </w:rPr>
        <w:t>焕新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”</w:t>
      </w:r>
      <w:r>
        <w:rPr>
          <w:rFonts w:ascii="Nimbus Roman" w:hAnsi="Nimbus Roman" w:eastAsia="方正仿宋_GBK" w:cs="Nimbus Roman"/>
          <w:sz w:val="32"/>
          <w:szCs w:val="32"/>
        </w:rPr>
        <w:t>补贴政策有关举措进行优化，具体如下。</w:t>
      </w:r>
    </w:p>
    <w:p w14:paraId="7F0499AC">
      <w:pPr>
        <w:adjustRightInd w:val="0"/>
        <w:snapToGrid w:val="0"/>
        <w:spacing w:line="579" w:lineRule="exact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 xml:space="preserve">  </w:t>
      </w:r>
      <w:r>
        <w:rPr>
          <w:rFonts w:ascii="Nimbus Roman" w:hAnsi="Nimbus Roman" w:eastAsia="方正黑体_GBK" w:cs="Nimbus Roman"/>
          <w:sz w:val="32"/>
          <w:szCs w:val="32"/>
        </w:rPr>
        <w:t xml:space="preserve">  一、提高补贴比例额度。</w:t>
      </w:r>
      <w:r>
        <w:rPr>
          <w:rFonts w:ascii="Nimbus Roman" w:hAnsi="Nimbus Roman" w:eastAsia="方正仿宋_GBK" w:cs="Nimbus Roman"/>
          <w:sz w:val="32"/>
          <w:szCs w:val="32"/>
        </w:rPr>
        <w:t>补贴比例调整为</w:t>
      </w:r>
      <w:r>
        <w:rPr>
          <w:rFonts w:ascii="Times New Roman" w:hAnsi="Times New Roman" w:eastAsia="方正仿宋_GBK" w:cs="Times New Roman"/>
          <w:sz w:val="32"/>
          <w:szCs w:val="32"/>
        </w:rPr>
        <w:t>30%</w:t>
      </w:r>
      <w:r>
        <w:rPr>
          <w:rFonts w:ascii="Nimbus Roman" w:hAnsi="Nimbus Roman" w:eastAsia="方正仿宋_GBK" w:cs="Nimbus Roman"/>
          <w:sz w:val="32"/>
          <w:szCs w:val="32"/>
        </w:rPr>
        <w:t>，补贴额度调整为每人不超过</w:t>
      </w:r>
      <w:r>
        <w:rPr>
          <w:rFonts w:ascii="Times New Roman" w:hAnsi="Times New Roman" w:eastAsia="方正仿宋_GBK" w:cs="Times New Roman"/>
          <w:sz w:val="32"/>
          <w:szCs w:val="32"/>
        </w:rPr>
        <w:t>10000元</w:t>
      </w:r>
      <w:r>
        <w:rPr>
          <w:rFonts w:ascii="Nimbus Roman" w:hAnsi="Nimbus Roman" w:eastAsia="方正仿宋_GBK" w:cs="Nimbus Roman"/>
          <w:sz w:val="32"/>
          <w:szCs w:val="32"/>
        </w:rPr>
        <w:t>。</w:t>
      </w:r>
      <w:r>
        <w:rPr>
          <w:rFonts w:hint="eastAsia" w:ascii="Nimbus Roman" w:hAnsi="Nimbus Roman" w:eastAsia="方正仿宋_GBK" w:cs="Nimbus Roman"/>
          <w:sz w:val="32"/>
          <w:szCs w:val="32"/>
        </w:rPr>
        <w:t>对</w:t>
      </w:r>
      <w:r>
        <w:rPr>
          <w:rFonts w:ascii="Times New Roman" w:hAnsi="Times New Roman" w:eastAsia="方正仿宋_GBK" w:cs="Times New Roman"/>
          <w:sz w:val="32"/>
          <w:szCs w:val="32"/>
        </w:rPr>
        <w:t>7月25</w:t>
      </w:r>
      <w:r>
        <w:rPr>
          <w:rFonts w:hint="eastAsia" w:ascii="Nimbus Roman" w:hAnsi="Nimbus Roman" w:eastAsia="方正仿宋_GBK" w:cs="Nimbus Roman"/>
          <w:sz w:val="32"/>
          <w:szCs w:val="32"/>
        </w:rPr>
        <w:t>日正式实施以来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产</w:t>
      </w:r>
      <w:r>
        <w:rPr>
          <w:rFonts w:hint="eastAsia" w:ascii="Nimbus Roman" w:hAnsi="Nimbus Roman" w:eastAsia="方正仿宋_GBK" w:cs="Nimbus Roman"/>
          <w:sz w:val="32"/>
          <w:szCs w:val="32"/>
        </w:rPr>
        <w:t>生的消费订单进行追溯补贴，</w:t>
      </w:r>
      <w:r>
        <w:rPr>
          <w:rFonts w:ascii="Nimbus Roman" w:hAnsi="Nimbus Roman" w:eastAsia="方正仿宋_GBK" w:cs="Nimbus Roman"/>
          <w:sz w:val="32"/>
          <w:szCs w:val="32"/>
        </w:rPr>
        <w:t>对已按原标准兑付的按新标准补齐差额，对审核通过还未兑付的以及新申报审核通过的按新标准予以补贴。《</w:t>
      </w:r>
      <w:r>
        <w:rPr>
          <w:rFonts w:ascii="Times New Roman" w:hAnsi="Times New Roman" w:eastAsia="方正仿宋_GBK" w:cs="Times New Roman"/>
          <w:sz w:val="32"/>
          <w:szCs w:val="32"/>
        </w:rPr>
        <w:t>2025</w:t>
      </w:r>
      <w:r>
        <w:rPr>
          <w:rFonts w:ascii="Nimbus Roman" w:hAnsi="Nimbus Roman" w:eastAsia="方正仿宋_GBK" w:cs="Nimbus Roman"/>
          <w:sz w:val="32"/>
          <w:szCs w:val="32"/>
        </w:rPr>
        <w:t>年重庆市居家适老化改造产品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“</w:t>
      </w:r>
      <w:r>
        <w:rPr>
          <w:rFonts w:ascii="Nimbus Roman" w:hAnsi="Nimbus Roman" w:eastAsia="方正仿宋_GBK" w:cs="Nimbus Roman"/>
          <w:sz w:val="32"/>
          <w:szCs w:val="32"/>
        </w:rPr>
        <w:t>焕新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”</w:t>
      </w:r>
      <w:r>
        <w:rPr>
          <w:rFonts w:ascii="Nimbus Roman" w:hAnsi="Nimbus Roman" w:eastAsia="方正仿宋_GBK" w:cs="Nimbus Roman"/>
          <w:sz w:val="32"/>
          <w:szCs w:val="32"/>
        </w:rPr>
        <w:t>补贴政策实施方案》（渝民规〔</w:t>
      </w:r>
      <w:r>
        <w:rPr>
          <w:rFonts w:ascii="Times New Roman" w:hAnsi="Times New Roman" w:eastAsia="方正仿宋_GBK" w:cs="Times New Roman"/>
          <w:sz w:val="32"/>
          <w:szCs w:val="32"/>
        </w:rPr>
        <w:t>2025〕5</w:t>
      </w:r>
      <w:r>
        <w:rPr>
          <w:rFonts w:ascii="Nimbus Roman" w:hAnsi="Nimbus Roman" w:eastAsia="方正仿宋_GBK" w:cs="Nimbus Roman"/>
          <w:sz w:val="32"/>
          <w:szCs w:val="32"/>
        </w:rPr>
        <w:t>号）明确的其他有关要求保持不变。</w:t>
      </w:r>
    </w:p>
    <w:p w14:paraId="6428F671">
      <w:pPr>
        <w:adjustRightInd w:val="0"/>
        <w:snapToGrid w:val="0"/>
        <w:spacing w:line="579" w:lineRule="exact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 xml:space="preserve">  </w:t>
      </w:r>
      <w:r>
        <w:rPr>
          <w:rFonts w:ascii="Nimbus Roman" w:hAnsi="Nimbus Roman" w:eastAsia="方正黑体_GBK" w:cs="Nimbus Roman"/>
          <w:sz w:val="32"/>
          <w:szCs w:val="32"/>
        </w:rPr>
        <w:t xml:space="preserve">  二、扩大产品范围。</w:t>
      </w:r>
      <w:r>
        <w:rPr>
          <w:rFonts w:ascii="Nimbus Roman" w:hAnsi="Nimbus Roman" w:eastAsia="方正仿宋_GBK" w:cs="Nimbus Roman"/>
          <w:sz w:val="32"/>
          <w:szCs w:val="32"/>
        </w:rPr>
        <w:t>在原有补贴产品范围上，扩充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ascii="Nimbus Roman" w:hAnsi="Nimbus Roman" w:eastAsia="方正仿宋_GBK" w:cs="Nimbus Roman"/>
          <w:sz w:val="32"/>
          <w:szCs w:val="32"/>
        </w:rPr>
        <w:t>大品类</w:t>
      </w:r>
      <w:r>
        <w:rPr>
          <w:rFonts w:ascii="Times New Roman" w:hAnsi="Times New Roman" w:eastAsia="方正仿宋_GBK" w:cs="Times New Roman"/>
          <w:sz w:val="32"/>
          <w:szCs w:val="32"/>
        </w:rPr>
        <w:t>20种</w:t>
      </w:r>
      <w:r>
        <w:rPr>
          <w:rFonts w:ascii="Nimbus Roman" w:hAnsi="Nimbus Roman" w:eastAsia="方正仿宋_GBK" w:cs="Nimbus Roman"/>
          <w:sz w:val="32"/>
          <w:szCs w:val="32"/>
        </w:rPr>
        <w:t>产品（详情见附件）。</w:t>
      </w:r>
    </w:p>
    <w:p w14:paraId="16424A85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黑体_GBK" w:cs="Nimbus Roman"/>
          <w:sz w:val="32"/>
          <w:szCs w:val="32"/>
        </w:rPr>
        <w:t>三、</w:t>
      </w:r>
      <w:r>
        <w:rPr>
          <w:rFonts w:hint="eastAsia" w:ascii="Nimbus Roman" w:hAnsi="Nimbus Roman" w:eastAsia="方正黑体_GBK" w:cs="Nimbus Roman"/>
          <w:sz w:val="32"/>
          <w:szCs w:val="32"/>
        </w:rPr>
        <w:t>便利</w:t>
      </w:r>
      <w:r>
        <w:rPr>
          <w:rFonts w:ascii="Nimbus Roman" w:hAnsi="Nimbus Roman" w:eastAsia="方正黑体_GBK" w:cs="Nimbus Roman"/>
          <w:sz w:val="32"/>
          <w:szCs w:val="32"/>
        </w:rPr>
        <w:t>消费体验。</w:t>
      </w:r>
      <w:r>
        <w:rPr>
          <w:rFonts w:ascii="Nimbus Roman" w:hAnsi="Nimbus Roman" w:eastAsia="方正仿宋_GBK" w:cs="Nimbus Roman"/>
          <w:sz w:val="32"/>
          <w:szCs w:val="32"/>
        </w:rPr>
        <w:t>申购码信息允许进行修改，原则上不超</w:t>
      </w:r>
      <w:r>
        <w:rPr>
          <w:rFonts w:ascii="Times New Roman" w:hAnsi="Times New Roman" w:eastAsia="方正仿宋_GBK" w:cs="Times New Roman"/>
          <w:sz w:val="32"/>
          <w:szCs w:val="32"/>
        </w:rPr>
        <w:t>过3</w:t>
      </w:r>
      <w:r>
        <w:rPr>
          <w:rFonts w:ascii="Nimbus Roman" w:hAnsi="Nimbus Roman" w:eastAsia="方正仿宋_GBK" w:cs="Nimbus Roman"/>
          <w:sz w:val="32"/>
          <w:szCs w:val="32"/>
        </w:rPr>
        <w:t>次。消费订单可由一件或多件符合条件的产品组成</w:t>
      </w:r>
      <w:r>
        <w:rPr>
          <w:rFonts w:hint="eastAsia" w:ascii="Nimbus Roman" w:hAnsi="Nimbus Roman" w:eastAsia="方正仿宋_GBK" w:cs="Nimbus Roman"/>
          <w:sz w:val="32"/>
          <w:szCs w:val="32"/>
        </w:rPr>
        <w:t>。</w:t>
      </w:r>
    </w:p>
    <w:p w14:paraId="54129C61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黑体_GBK" w:cs="Nimbus Roman"/>
          <w:sz w:val="32"/>
          <w:szCs w:val="32"/>
        </w:rPr>
        <w:t>四、加大宣传监督。</w:t>
      </w:r>
      <w:r>
        <w:rPr>
          <w:rFonts w:ascii="Nimbus Roman" w:hAnsi="Nimbus Roman" w:eastAsia="方正仿宋_GBK" w:cs="Nimbus Roman"/>
          <w:sz w:val="32"/>
          <w:szCs w:val="32"/>
        </w:rPr>
        <w:t>请各区县（自治县）民政、商务主管部门，积极宣传调整后的补贴政策，扩大市民知晓面，严厉打击套补、骗补行为，</w:t>
      </w:r>
      <w:r>
        <w:rPr>
          <w:rFonts w:hint="eastAsia" w:ascii="Nimbus Roman" w:hAnsi="Nimbus Roman" w:eastAsia="方正仿宋_GBK" w:cs="Nimbus Roman"/>
          <w:sz w:val="32"/>
          <w:szCs w:val="32"/>
        </w:rPr>
        <w:t>涉嫌</w:t>
      </w:r>
      <w:r>
        <w:rPr>
          <w:rFonts w:ascii="Nimbus Roman" w:hAnsi="Nimbus Roman" w:eastAsia="方正仿宋_GBK" w:cs="Nimbus Roman"/>
          <w:sz w:val="32"/>
          <w:szCs w:val="32"/>
        </w:rPr>
        <w:t>违法犯罪的依法移交司法机关处理。</w:t>
      </w:r>
    </w:p>
    <w:p w14:paraId="79977D06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</w:p>
    <w:p w14:paraId="40721F4B">
      <w:pPr>
        <w:adjustRightInd w:val="0"/>
        <w:snapToGrid w:val="0"/>
        <w:spacing w:line="579" w:lineRule="exact"/>
        <w:ind w:left="1598" w:leftChars="304" w:hanging="960" w:hangingChars="300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>附件：重庆市居家适老化改造产品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“</w:t>
      </w:r>
      <w:r>
        <w:rPr>
          <w:rFonts w:ascii="Nimbus Roman" w:hAnsi="Nimbus Roman" w:eastAsia="方正仿宋_GBK" w:cs="Nimbus Roman"/>
          <w:sz w:val="32"/>
          <w:szCs w:val="32"/>
        </w:rPr>
        <w:t>焕新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”</w:t>
      </w:r>
      <w:r>
        <w:rPr>
          <w:rFonts w:ascii="Nimbus Roman" w:hAnsi="Nimbus Roman" w:eastAsia="方正仿宋_GBK" w:cs="Nimbus Roman"/>
          <w:sz w:val="32"/>
          <w:szCs w:val="32"/>
        </w:rPr>
        <w:t>补贴扩围目录（试行）</w:t>
      </w:r>
    </w:p>
    <w:p w14:paraId="455F9BC6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</w:p>
    <w:p w14:paraId="315503A5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</w:p>
    <w:p w14:paraId="0A03A0EF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</w:p>
    <w:p w14:paraId="0B48D6DD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>重庆市民政局            重庆市商务委员会</w:t>
      </w:r>
    </w:p>
    <w:p w14:paraId="46FA3CA0">
      <w:pPr>
        <w:adjustRightInd w:val="0"/>
        <w:snapToGrid w:val="0"/>
        <w:spacing w:line="579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 xml:space="preserve">                     </w:t>
      </w:r>
      <w:r>
        <w:rPr>
          <w:rFonts w:hint="eastAsia" w:ascii="Nimbus Roman" w:hAnsi="Nimbus Roman" w:eastAsia="方正仿宋_GBK" w:cs="Nimbus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2025年9月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bookmarkStart w:id="0" w:name="_GoBack"/>
      <w:bookmarkEnd w:id="0"/>
    </w:p>
    <w:p w14:paraId="36190017">
      <w:pPr>
        <w:adjustRightInd w:val="0"/>
        <w:snapToGrid w:val="0"/>
        <w:spacing w:line="579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</w:p>
    <w:p w14:paraId="351F2AB7">
      <w:pPr>
        <w:adjustRightInd w:val="0"/>
        <w:snapToGrid w:val="0"/>
        <w:spacing w:line="579" w:lineRule="exact"/>
        <w:ind w:firstLine="64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2DF30EBA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</w:p>
    <w:p w14:paraId="64A7002E">
      <w:pPr>
        <w:adjustRightInd w:val="0"/>
        <w:snapToGrid w:val="0"/>
        <w:spacing w:line="579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74" w:gutter="0"/>
          <w:cols w:space="425" w:num="1"/>
          <w:docGrid w:type="lines" w:linePitch="312" w:charSpace="0"/>
        </w:sectPr>
      </w:pPr>
    </w:p>
    <w:p w14:paraId="3565CF20">
      <w:pPr>
        <w:overflowPunct w:val="0"/>
        <w:adjustRightInd w:val="0"/>
        <w:snapToGrid w:val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2A88ADD5">
      <w:pPr>
        <w:overflowPunct w:val="0"/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51E1D1B5">
      <w:pPr>
        <w:overflowPunct w:val="0"/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重庆市居家适老化改造产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品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焕新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补贴扩</w:t>
      </w:r>
      <w:r>
        <w:rPr>
          <w:rFonts w:ascii="Times New Roman" w:hAnsi="Times New Roman" w:eastAsia="方正小标宋_GBK" w:cs="Times New Roman"/>
          <w:sz w:val="44"/>
          <w:szCs w:val="44"/>
        </w:rPr>
        <w:t>围目录（试行）</w:t>
      </w:r>
    </w:p>
    <w:p w14:paraId="389E9A98">
      <w:pPr>
        <w:overflowPunct w:val="0"/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6"/>
        <w:tblW w:w="0" w:type="auto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19"/>
        <w:gridCol w:w="1442"/>
        <w:gridCol w:w="3712"/>
        <w:gridCol w:w="6002"/>
      </w:tblGrid>
      <w:tr w14:paraId="2B8C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382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7BB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A8E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产品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398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扩围产品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01A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功能说明</w:t>
            </w:r>
          </w:p>
        </w:tc>
      </w:tr>
      <w:tr w14:paraId="1CBF1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CC4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04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地面和</w:t>
            </w:r>
          </w:p>
          <w:p w14:paraId="6B0C13A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门改造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1C6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可双向</w:t>
            </w:r>
          </w:p>
          <w:p w14:paraId="6BC0A0C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开启的门</w:t>
            </w:r>
          </w:p>
          <w:p w14:paraId="4643EA8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（新增品类）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C201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双向开启门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4609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老年人跌倒后，可从外部开启，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便于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护理人员及时救助。</w:t>
            </w:r>
          </w:p>
        </w:tc>
      </w:tr>
      <w:tr w14:paraId="0370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341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23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FE8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下压式</w:t>
            </w:r>
          </w:p>
          <w:p w14:paraId="7A5EC62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门把手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3672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下压式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智能门锁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D21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可用单手手掌或者手指轻松操作，增加摩擦力稳定性，方便老年人开门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11620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79A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45C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如厕洗浴</w:t>
            </w:r>
          </w:p>
          <w:p w14:paraId="3EBC8A6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设备改造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0CF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坐便器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3C7D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坐便器、适老分体式智能马桶盖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7AAA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方便老年人如厕。</w:t>
            </w:r>
          </w:p>
        </w:tc>
      </w:tr>
      <w:tr w14:paraId="312EA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9A4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E0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DC7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洗浴装置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0FE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恒温花洒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BE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方便老年人洗浴，保持出水恒定温度避免过冷或过热，引起老年人不适。</w:t>
            </w:r>
          </w:p>
        </w:tc>
      </w:tr>
      <w:tr w14:paraId="40665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2B9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9AB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厨房设</w:t>
            </w:r>
          </w:p>
          <w:p w14:paraId="059741D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备改造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D4F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适老升降</w:t>
            </w:r>
          </w:p>
          <w:p w14:paraId="0485ADB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吊柜</w:t>
            </w:r>
          </w:p>
          <w:p w14:paraId="1B42B1E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（新增品类）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C9E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适老升降吊柜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D300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在吊柜下方配置开敞式中部柜、中部架，方便老年人取放物品。</w:t>
            </w:r>
          </w:p>
        </w:tc>
      </w:tr>
      <w:tr w14:paraId="1A6E3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A06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203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物理环</w:t>
            </w:r>
          </w:p>
          <w:p w14:paraId="1D333F6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境改造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A4A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自动</w:t>
            </w:r>
          </w:p>
          <w:p w14:paraId="2E6D255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感应灯具</w:t>
            </w:r>
          </w:p>
          <w:p w14:paraId="5CC1A50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（新增品类）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80E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便携式自动感应灯具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22F3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通过安装感应便携灯，避免直射光源、强刺激性光源，人走灯灭，辅助老年人起夜。</w:t>
            </w:r>
          </w:p>
        </w:tc>
      </w:tr>
      <w:tr w14:paraId="5143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5F2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11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2A2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适老家具</w:t>
            </w:r>
          </w:p>
          <w:p w14:paraId="77D853F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（新增品类）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9F0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电动助起设备（起身辅助器）、换鞋凳、适老椅、床头柜、床边桌、餐桌、电动升降晾衣架、辅助起坐坐垫、辅助起坐沙发、辅助起坐床垫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A77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方便老人日常生活，提高生活质量。</w:t>
            </w:r>
          </w:p>
        </w:tc>
      </w:tr>
      <w:tr w14:paraId="432A1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0F8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32A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辅具适</w:t>
            </w:r>
          </w:p>
          <w:p w14:paraId="7E7DB05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配改造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9D1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卧床二便</w:t>
            </w:r>
          </w:p>
          <w:p w14:paraId="76E0842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辅助设备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1175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医用级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失能老年用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尿不湿（尿片）、护理垫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BBFD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方便照护人员及时为长期卧床或行动困难老年人处置大小便。</w:t>
            </w:r>
          </w:p>
        </w:tc>
      </w:tr>
      <w:tr w14:paraId="1F9E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5E2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DB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DE9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康复辅助</w:t>
            </w:r>
          </w:p>
          <w:p w14:paraId="27D3618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设备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553E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呼吸机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2FDA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帮助老年人进行健康管理，改善身体健康，恢复生理功能。</w:t>
            </w:r>
          </w:p>
        </w:tc>
      </w:tr>
    </w:tbl>
    <w:p w14:paraId="784DE27E">
      <w:pPr>
        <w:snapToGrid w:val="0"/>
        <w:spacing w:line="300" w:lineRule="auto"/>
        <w:jc w:val="left"/>
        <w:rPr>
          <w:rFonts w:ascii="Times New Roman" w:hAnsi="Times New Roman" w:cs="Times New Roman"/>
          <w:sz w:val="32"/>
          <w:szCs w:val="32"/>
        </w:rPr>
      </w:pPr>
    </w:p>
    <w:p w14:paraId="0FDBC37D">
      <w:pPr>
        <w:snapToGrid w:val="0"/>
        <w:spacing w:line="300" w:lineRule="auto"/>
        <w:jc w:val="left"/>
        <w:rPr>
          <w:rFonts w:ascii="Times New Roman" w:hAnsi="Times New Roman" w:cs="Times New Roman"/>
          <w:sz w:val="32"/>
          <w:szCs w:val="32"/>
        </w:rPr>
      </w:pPr>
    </w:p>
    <w:sectPr>
      <w:footerReference r:id="rId5" w:type="default"/>
      <w:footerReference r:id="rId6" w:type="even"/>
      <w:pgSz w:w="16838" w:h="11906" w:orient="landscape"/>
      <w:pgMar w:top="1587" w:right="2098" w:bottom="1474" w:left="1985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06EA9E-CF19-46C2-A735-2E8724693D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8398A91-2631-40E5-9CA2-B9E58D9BE35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03017F3-C54D-4D7A-9F58-45567D8D1BC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E07931D-CED3-47CD-BCB9-893A1DD14338}"/>
  </w:font>
  <w:font w:name="Nimbus Roman">
    <w:altName w:val="AMGD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5" w:fontKey="{7D373499-F7E6-4E89-AE65-7F07F89C925B}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468E6EB-8F3E-49F4-B0B5-28BAF222430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630F23F1-204C-4CAC-89D1-7EE3094C8B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066C9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29259">
    <w:pPr>
      <w:pStyle w:val="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2D610">
    <w:pPr>
      <w:pStyle w:val="3"/>
      <w:jc w:val="right"/>
      <w:rPr>
        <w:rFonts w:ascii="Times New Roman" w:hAnsi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4FCB5">
    <w:pPr>
      <w:pStyle w:val="3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ECC04"/>
    <w:rsid w:val="004A62B1"/>
    <w:rsid w:val="009F6AF7"/>
    <w:rsid w:val="00C052C3"/>
    <w:rsid w:val="00DA4092"/>
    <w:rsid w:val="00E5583A"/>
    <w:rsid w:val="03CE631F"/>
    <w:rsid w:val="28BF8B9E"/>
    <w:rsid w:val="2EBA774C"/>
    <w:rsid w:val="37DF10C5"/>
    <w:rsid w:val="3EAF533D"/>
    <w:rsid w:val="3F5FA0F3"/>
    <w:rsid w:val="3FF755C1"/>
    <w:rsid w:val="549A28AF"/>
    <w:rsid w:val="55EB3669"/>
    <w:rsid w:val="560E0A0D"/>
    <w:rsid w:val="5E7F20B3"/>
    <w:rsid w:val="677F13A1"/>
    <w:rsid w:val="7FAF1B94"/>
    <w:rsid w:val="7FFB8D25"/>
    <w:rsid w:val="AFF6EA60"/>
    <w:rsid w:val="B7CF0906"/>
    <w:rsid w:val="DDFF8454"/>
    <w:rsid w:val="DEE75E28"/>
    <w:rsid w:val="E6FF51AD"/>
    <w:rsid w:val="FCBF597D"/>
    <w:rsid w:val="FDBEC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1121</Characters>
  <Lines>9</Lines>
  <Paragraphs>2</Paragraphs>
  <TotalTime>42</TotalTime>
  <ScaleCrop>false</ScaleCrop>
  <LinksUpToDate>false</LinksUpToDate>
  <CharactersWithSpaces>1172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2025-09-28T01:05:00Z</dcterms:created>
  <dc:creator>润甲</dc:creator>
  <cp:lastModifiedBy>木马</cp:lastModifiedBy>
  <cp:lastPrinted>2025-09-28T16:02:00Z</cp:lastPrinted>
  <dcterms:modified xsi:type="dcterms:W3CDTF">2025-10-10T02:36:58Z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F5D9AEB6CF1E46B596696F15F9233DC0_13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