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79" w:lineRule="exact"/>
        <w:jc w:val="center"/>
        <w:rPr>
          <w:rFonts w:ascii="Times New Roman" w:hAnsi="方正小标宋_GBK" w:eastAsia="方正小标宋_GBK"/>
          <w:sz w:val="44"/>
          <w:szCs w:val="44"/>
        </w:rPr>
      </w:pPr>
    </w:p>
    <w:p>
      <w:pPr>
        <w:overflowPunct w:val="0"/>
        <w:snapToGrid w:val="0"/>
        <w:spacing w:line="579" w:lineRule="exact"/>
        <w:jc w:val="center"/>
        <w:rPr>
          <w:rFonts w:ascii="Times New Roman" w:hAnsi="方正小标宋_GBK" w:eastAsia="方正小标宋_GBK"/>
          <w:sz w:val="44"/>
          <w:szCs w:val="44"/>
        </w:rPr>
      </w:pPr>
    </w:p>
    <w:p>
      <w:pPr>
        <w:keepNext w:val="0"/>
        <w:keepLines w:val="0"/>
        <w:pageBreakBefore w:val="0"/>
        <w:widowControl w:val="0"/>
        <w:kinsoku/>
        <w:wordWrap/>
        <w:overflowPunct w:val="0"/>
        <w:topLinePunct w:val="0"/>
        <w:autoSpaceDE/>
        <w:autoSpaceDN/>
        <w:bidi w:val="0"/>
        <w:adjustRightInd/>
        <w:snapToGrid w:val="0"/>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方正小标宋_GBK" w:eastAsia="方正小标宋_GBK"/>
          <w:sz w:val="44"/>
          <w:szCs w:val="44"/>
        </w:rPr>
        <w:t>重庆市民政局</w:t>
      </w:r>
    </w:p>
    <w:p>
      <w:pPr>
        <w:keepNext w:val="0"/>
        <w:keepLines w:val="0"/>
        <w:pageBreakBefore w:val="0"/>
        <w:widowControl w:val="0"/>
        <w:kinsoku/>
        <w:wordWrap/>
        <w:overflowPunct w:val="0"/>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Times New Roman" w:hAnsi="方正小标宋_GBK" w:eastAsia="方正小标宋_GBK"/>
          <w:sz w:val="44"/>
          <w:szCs w:val="44"/>
        </w:rPr>
      </w:pPr>
      <w:r>
        <w:rPr>
          <w:rFonts w:ascii="Times New Roman" w:hAnsi="方正小标宋_GBK" w:eastAsia="方正小标宋_GBK"/>
          <w:sz w:val="44"/>
          <w:szCs w:val="44"/>
        </w:rPr>
        <w:t>关于进一步规范行业协会商会</w:t>
      </w:r>
    </w:p>
    <w:p>
      <w:pPr>
        <w:keepNext w:val="0"/>
        <w:keepLines w:val="0"/>
        <w:pageBreakBefore w:val="0"/>
        <w:widowControl w:val="0"/>
        <w:kinsoku/>
        <w:wordWrap/>
        <w:overflowPunct w:val="0"/>
        <w:topLinePunct w:val="0"/>
        <w:autoSpaceDE/>
        <w:autoSpaceDN/>
        <w:bidi w:val="0"/>
        <w:adjustRightInd/>
        <w:snapToGrid w:val="0"/>
        <w:spacing w:line="540" w:lineRule="exact"/>
        <w:ind w:left="0" w:leftChars="0" w:right="0" w:rightChars="0" w:firstLine="0" w:firstLineChars="0"/>
        <w:jc w:val="center"/>
        <w:textAlignment w:val="auto"/>
        <w:outlineLvl w:val="9"/>
        <w:rPr>
          <w:rFonts w:ascii="Times New Roman" w:hAnsi="Times New Roman" w:eastAsia="方正小标宋_GBK"/>
          <w:sz w:val="44"/>
          <w:szCs w:val="44"/>
        </w:rPr>
      </w:pPr>
      <w:r>
        <w:rPr>
          <w:rFonts w:ascii="Times New Roman" w:hAnsi="方正小标宋_GBK" w:eastAsia="方正小标宋_GBK"/>
          <w:sz w:val="44"/>
          <w:szCs w:val="44"/>
        </w:rPr>
        <w:t>会费管理的通知</w:t>
      </w:r>
    </w:p>
    <w:p>
      <w:pPr>
        <w:snapToGrid w:val="0"/>
        <w:spacing w:line="360" w:lineRule="auto"/>
        <w:jc w:val="center"/>
        <w:rPr>
          <w:rFonts w:ascii="Times New Roman" w:hAnsi="Times New Roman" w:eastAsia="方正仿宋_GBK"/>
          <w:sz w:val="32"/>
          <w:szCs w:val="32"/>
        </w:rPr>
      </w:pPr>
      <w:bookmarkStart w:id="2" w:name="_GoBack"/>
      <w:r>
        <w:rPr>
          <w:rFonts w:ascii="Times New Roman" w:eastAsia="方正仿宋_GBK"/>
          <w:sz w:val="32"/>
          <w:szCs w:val="32"/>
        </w:rPr>
        <w:t>渝民〔</w:t>
      </w:r>
      <w:r>
        <w:rPr>
          <w:rFonts w:ascii="Times New Roman" w:hAnsi="Times New Roman" w:eastAsia="方正仿宋_GBK"/>
          <w:sz w:val="32"/>
          <w:szCs w:val="32"/>
        </w:rPr>
        <w:t>2018</w:t>
      </w:r>
      <w:r>
        <w:rPr>
          <w:rFonts w:ascii="Times New Roman" w:eastAsia="方正仿宋_GBK"/>
          <w:sz w:val="32"/>
          <w:szCs w:val="32"/>
        </w:rPr>
        <w:t>〕</w:t>
      </w:r>
      <w:r>
        <w:rPr>
          <w:rFonts w:ascii="Times New Roman" w:hAnsi="Times New Roman" w:eastAsia="方正仿宋_GBK"/>
          <w:sz w:val="32"/>
          <w:szCs w:val="32"/>
        </w:rPr>
        <w:t>4</w:t>
      </w:r>
      <w:r>
        <w:rPr>
          <w:rFonts w:hint="eastAsia" w:ascii="Times New Roman" w:hAnsi="Times New Roman" w:eastAsia="方正仿宋_GBK"/>
          <w:sz w:val="32"/>
          <w:szCs w:val="32"/>
        </w:rPr>
        <w:t>6</w:t>
      </w:r>
      <w:r>
        <w:rPr>
          <w:rFonts w:ascii="Times New Roman" w:eastAsia="方正仿宋_GBK"/>
          <w:sz w:val="32"/>
          <w:szCs w:val="32"/>
        </w:rPr>
        <w:t>号</w:t>
      </w:r>
    </w:p>
    <w:bookmarkEnd w:id="2"/>
    <w:p>
      <w:pPr>
        <w:overflowPunct w:val="0"/>
        <w:snapToGrid w:val="0"/>
        <w:spacing w:line="579" w:lineRule="exact"/>
        <w:rPr>
          <w:rFonts w:ascii="Times New Roman" w:hAnsi="Times New Roman" w:eastAsia="方正小标宋_GBK"/>
          <w:sz w:val="32"/>
          <w:szCs w:val="32"/>
        </w:rPr>
      </w:pPr>
    </w:p>
    <w:p>
      <w:pPr>
        <w:keepNext w:val="0"/>
        <w:keepLines w:val="0"/>
        <w:pageBreakBefore w:val="0"/>
        <w:widowControl w:val="0"/>
        <w:kinsoku/>
        <w:wordWrap/>
        <w:overflowPunct w:val="0"/>
        <w:topLinePunct w:val="0"/>
        <w:autoSpaceDE/>
        <w:autoSpaceDN/>
        <w:bidi w:val="0"/>
        <w:adjustRightInd/>
        <w:snapToGrid w:val="0"/>
        <w:spacing w:line="600" w:lineRule="exact"/>
        <w:ind w:left="0" w:leftChars="0" w:right="0" w:rightChars="0"/>
        <w:jc w:val="both"/>
        <w:textAlignment w:val="auto"/>
        <w:outlineLvl w:val="9"/>
        <w:rPr>
          <w:rFonts w:ascii="Times New Roman" w:hAnsi="Times New Roman" w:eastAsia="方正仿宋_GBK"/>
          <w:sz w:val="32"/>
          <w:szCs w:val="32"/>
        </w:rPr>
      </w:pPr>
      <w:r>
        <w:rPr>
          <w:rFonts w:ascii="Times New Roman" w:hAnsi="方正仿宋_GBK" w:eastAsia="方正仿宋_GBK"/>
          <w:sz w:val="32"/>
          <w:szCs w:val="32"/>
        </w:rPr>
        <w:t>各区县（自治县）民政局，两江新区社会保障局、万盛经开区民政局，各全市性行业协会商会，相关业务主管单位：</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right="0" w:rightChars="0" w:firstLine="640" w:firstLineChars="200"/>
        <w:jc w:val="both"/>
        <w:textAlignment w:val="auto"/>
        <w:outlineLvl w:val="9"/>
        <w:rPr>
          <w:rFonts w:ascii="Times New Roman" w:hAnsi="Times New Roman" w:eastAsia="方正仿宋_GBK"/>
          <w:sz w:val="32"/>
          <w:szCs w:val="32"/>
        </w:rPr>
      </w:pPr>
      <w:r>
        <w:rPr>
          <w:rFonts w:ascii="Times New Roman" w:hAnsi="方正仿宋_GBK" w:eastAsia="方正仿宋_GBK"/>
          <w:sz w:val="32"/>
          <w:szCs w:val="32"/>
        </w:rPr>
        <w:t>根据国家发展改革委、民政部、财政部、国资委《关于进一步规范行业协会商会收费管理的意见》（发改经体〔</w:t>
      </w:r>
      <w:r>
        <w:rPr>
          <w:rFonts w:ascii="Times New Roman" w:hAnsi="Times New Roman" w:eastAsia="方正仿宋_GBK"/>
          <w:sz w:val="32"/>
          <w:szCs w:val="32"/>
        </w:rPr>
        <w:t>2017</w:t>
      </w:r>
      <w:r>
        <w:rPr>
          <w:rFonts w:ascii="Times New Roman" w:hAnsi="方正仿宋_GBK" w:eastAsia="方正仿宋_GBK"/>
          <w:sz w:val="32"/>
          <w:szCs w:val="32"/>
        </w:rPr>
        <w:t>〕</w:t>
      </w:r>
      <w:r>
        <w:rPr>
          <w:rFonts w:ascii="Times New Roman" w:hAnsi="Times New Roman" w:eastAsia="方正仿宋_GBK"/>
          <w:sz w:val="32"/>
          <w:szCs w:val="32"/>
        </w:rPr>
        <w:t>1999</w:t>
      </w:r>
      <w:r>
        <w:rPr>
          <w:rFonts w:ascii="Times New Roman" w:hAnsi="方正仿宋_GBK" w:eastAsia="方正仿宋_GBK"/>
          <w:sz w:val="32"/>
          <w:szCs w:val="32"/>
        </w:rPr>
        <w:t>号，以下简称《意见》）和市发展改革委、市物价局、市民政局、市财政局、市国资委《关于转发进一步规范行业协会商会收费管理意见的通知》（</w:t>
      </w:r>
      <w:r>
        <w:rPr>
          <w:rFonts w:ascii="Times New Roman" w:hAnsi="方正仿宋_GBK" w:eastAsia="方正仿宋_GBK"/>
          <w:bCs/>
          <w:sz w:val="32"/>
          <w:szCs w:val="32"/>
        </w:rPr>
        <w:t>渝发改体〔</w:t>
      </w:r>
      <w:bookmarkStart w:id="0" w:name="C_fwnd"/>
      <w:bookmarkEnd w:id="0"/>
      <w:r>
        <w:rPr>
          <w:rFonts w:ascii="Times New Roman" w:hAnsi="Times New Roman" w:eastAsia="方正仿宋_GBK"/>
          <w:bCs/>
          <w:sz w:val="32"/>
          <w:szCs w:val="32"/>
        </w:rPr>
        <w:t>2018</w:t>
      </w:r>
      <w:r>
        <w:rPr>
          <w:rFonts w:ascii="Times New Roman" w:hAnsi="方正仿宋_GBK" w:eastAsia="方正仿宋_GBK"/>
          <w:bCs/>
          <w:sz w:val="32"/>
          <w:szCs w:val="32"/>
        </w:rPr>
        <w:t>〕</w:t>
      </w:r>
      <w:bookmarkStart w:id="1" w:name="fwh"/>
      <w:bookmarkEnd w:id="1"/>
      <w:r>
        <w:rPr>
          <w:rFonts w:ascii="Times New Roman" w:hAnsi="Times New Roman" w:eastAsia="方正仿宋_GBK"/>
          <w:bCs/>
          <w:sz w:val="32"/>
          <w:szCs w:val="32"/>
        </w:rPr>
        <w:t>172</w:t>
      </w:r>
      <w:r>
        <w:rPr>
          <w:rFonts w:ascii="Times New Roman" w:hAnsi="方正仿宋_GBK" w:eastAsia="方正仿宋_GBK"/>
          <w:bCs/>
          <w:sz w:val="32"/>
          <w:szCs w:val="32"/>
        </w:rPr>
        <w:t>号</w:t>
      </w:r>
      <w:r>
        <w:rPr>
          <w:rFonts w:ascii="Times New Roman" w:hAnsi="方正仿宋_GBK" w:eastAsia="方正仿宋_GBK"/>
          <w:sz w:val="32"/>
          <w:szCs w:val="32"/>
        </w:rPr>
        <w:t>）精神和有关规定，为改善营商环境，切实减轻企业负担，促进行业协会商会健康发展，现就进一步规范行业协会商会会费管理有关事项通知如下：</w:t>
      </w:r>
    </w:p>
    <w:p>
      <w:pPr>
        <w:pStyle w:val="11"/>
        <w:keepNext w:val="0"/>
        <w:keepLines w:val="0"/>
        <w:pageBreakBefore w:val="0"/>
        <w:widowControl w:val="0"/>
        <w:numPr>
          <w:ilvl w:val="0"/>
          <w:numId w:val="1"/>
        </w:numPr>
        <w:tabs>
          <w:tab w:val="left" w:pos="1418"/>
        </w:tabs>
        <w:kinsoku/>
        <w:wordWrap/>
        <w:overflowPunct w:val="0"/>
        <w:topLinePunct w:val="0"/>
        <w:autoSpaceDE/>
        <w:autoSpaceDN/>
        <w:bidi w:val="0"/>
        <w:adjustRightInd/>
        <w:snapToGrid w:val="0"/>
        <w:spacing w:line="600" w:lineRule="exact"/>
        <w:ind w:left="0" w:leftChars="0" w:right="0" w:rightChars="0" w:firstLine="640"/>
        <w:jc w:val="both"/>
        <w:textAlignment w:val="auto"/>
        <w:outlineLvl w:val="9"/>
        <w:rPr>
          <w:rFonts w:ascii="Times New Roman" w:hAnsi="Times New Roman" w:eastAsia="方正仿宋_GBK"/>
          <w:sz w:val="32"/>
          <w:szCs w:val="32"/>
        </w:rPr>
      </w:pPr>
      <w:r>
        <w:rPr>
          <w:rFonts w:ascii="Times New Roman" w:hAnsi="方正仿宋_GBK" w:eastAsia="方正仿宋_GBK"/>
          <w:sz w:val="32"/>
          <w:szCs w:val="32"/>
        </w:rPr>
        <w:t>行业协会商会应当依据章程规定的业务范围、工作成本等因素，合理制定会费标准。会费标准的额度应当明确，不得具有浮动性。行业协会商会制定或者修改会费标准，应当召开会员大会或者会员代表大会，应当有</w:t>
      </w:r>
      <w:r>
        <w:rPr>
          <w:rFonts w:ascii="Times New Roman" w:hAnsi="Times New Roman" w:eastAsia="方正仿宋_GBK"/>
          <w:sz w:val="32"/>
          <w:szCs w:val="32"/>
        </w:rPr>
        <w:t>2/3</w:t>
      </w:r>
      <w:r>
        <w:rPr>
          <w:rFonts w:ascii="Times New Roman" w:hAnsi="方正仿宋_GBK" w:eastAsia="方正仿宋_GBK"/>
          <w:sz w:val="32"/>
          <w:szCs w:val="32"/>
        </w:rPr>
        <w:t>以上会员或者会员代表出席，并经出席会员或者会员代表</w:t>
      </w:r>
      <w:r>
        <w:rPr>
          <w:rFonts w:ascii="Times New Roman" w:hAnsi="Times New Roman" w:eastAsia="方正仿宋_GBK"/>
          <w:sz w:val="32"/>
          <w:szCs w:val="32"/>
        </w:rPr>
        <w:t>1/2</w:t>
      </w:r>
      <w:r>
        <w:rPr>
          <w:rFonts w:ascii="Times New Roman" w:hAnsi="方正仿宋_GBK" w:eastAsia="方正仿宋_GBK"/>
          <w:sz w:val="32"/>
          <w:szCs w:val="32"/>
        </w:rPr>
        <w:t>以上表决通过，表决采取无记名投票方式进行。除会员大会或者会员代表大会以外，不得采取任何其他形式制定或者修改会费标准。</w:t>
      </w:r>
    </w:p>
    <w:p>
      <w:pPr>
        <w:pStyle w:val="11"/>
        <w:keepNext w:val="0"/>
        <w:keepLines w:val="0"/>
        <w:pageBreakBefore w:val="0"/>
        <w:widowControl w:val="0"/>
        <w:numPr>
          <w:ilvl w:val="0"/>
          <w:numId w:val="1"/>
        </w:numPr>
        <w:tabs>
          <w:tab w:val="left" w:pos="1418"/>
        </w:tabs>
        <w:kinsoku/>
        <w:wordWrap/>
        <w:overflowPunct w:val="0"/>
        <w:topLinePunct w:val="0"/>
        <w:autoSpaceDE/>
        <w:autoSpaceDN/>
        <w:bidi w:val="0"/>
        <w:adjustRightInd/>
        <w:snapToGrid w:val="0"/>
        <w:spacing w:line="600" w:lineRule="exact"/>
        <w:ind w:left="0" w:leftChars="0" w:right="0" w:rightChars="0" w:firstLine="640"/>
        <w:jc w:val="both"/>
        <w:textAlignment w:val="auto"/>
        <w:outlineLvl w:val="9"/>
        <w:rPr>
          <w:rFonts w:ascii="Times New Roman" w:hAnsi="Times New Roman" w:eastAsia="方正仿宋_GBK"/>
          <w:sz w:val="32"/>
          <w:szCs w:val="32"/>
        </w:rPr>
      </w:pPr>
      <w:r>
        <w:rPr>
          <w:rFonts w:ascii="Times New Roman" w:hAnsi="方正仿宋_GBK" w:eastAsia="方正仿宋_GBK"/>
          <w:sz w:val="32"/>
          <w:szCs w:val="32"/>
        </w:rPr>
        <w:t>行业协会商会收取的会费，应当主要用于为会员提供服务以及按照该协会商会宗旨开展的各项业务活动等支出。行业协会商会收取会费应同时明确所提供的基本服务项目，并向会员公开，严禁只收费不服务。</w:t>
      </w:r>
    </w:p>
    <w:p>
      <w:pPr>
        <w:pStyle w:val="11"/>
        <w:keepNext w:val="0"/>
        <w:keepLines w:val="0"/>
        <w:pageBreakBefore w:val="0"/>
        <w:widowControl w:val="0"/>
        <w:numPr>
          <w:ilvl w:val="0"/>
          <w:numId w:val="1"/>
        </w:numPr>
        <w:tabs>
          <w:tab w:val="left" w:pos="1418"/>
        </w:tabs>
        <w:kinsoku/>
        <w:wordWrap/>
        <w:overflowPunct w:val="0"/>
        <w:topLinePunct w:val="0"/>
        <w:autoSpaceDE/>
        <w:autoSpaceDN/>
        <w:bidi w:val="0"/>
        <w:adjustRightInd/>
        <w:snapToGrid w:val="0"/>
        <w:spacing w:line="600" w:lineRule="exact"/>
        <w:ind w:left="0" w:leftChars="0" w:right="0" w:rightChars="0" w:firstLine="640"/>
        <w:jc w:val="both"/>
        <w:textAlignment w:val="auto"/>
        <w:outlineLvl w:val="9"/>
        <w:rPr>
          <w:rFonts w:ascii="Times New Roman" w:hAnsi="Times New Roman" w:eastAsia="方正仿宋_GBK"/>
          <w:sz w:val="32"/>
          <w:szCs w:val="32"/>
        </w:rPr>
      </w:pPr>
      <w:r>
        <w:rPr>
          <w:rFonts w:ascii="Times New Roman" w:hAnsi="方正仿宋_GBK" w:eastAsia="方正仿宋_GBK"/>
          <w:sz w:val="32"/>
          <w:szCs w:val="32"/>
        </w:rPr>
        <w:t>行业协会商会要适当降低偏高会费和其他收费标准，减轻企业负担。要合理设置会费档次，一般不超过</w:t>
      </w:r>
      <w:r>
        <w:rPr>
          <w:rFonts w:ascii="Times New Roman" w:hAnsi="Times New Roman" w:eastAsia="方正仿宋_GBK"/>
          <w:sz w:val="32"/>
          <w:szCs w:val="32"/>
        </w:rPr>
        <w:t>4</w:t>
      </w:r>
      <w:r>
        <w:rPr>
          <w:rFonts w:ascii="Times New Roman" w:hAnsi="方正仿宋_GBK" w:eastAsia="方正仿宋_GBK"/>
          <w:sz w:val="32"/>
          <w:szCs w:val="32"/>
        </w:rPr>
        <w:t>级，对同一会费档次不得再细分不同收费标准。会费档次较多、标准过高的行业协会商会，要调整会费档次、降低会费标准。会费结余较多的行业协会商会，要主动减免企业会员会费。要综合考虑经济形势、市场环境、企业经营状况和承受能力等因素，调整规范以产销量、企业规模等为基数收取会费的方式，合理设置会费上限。</w:t>
      </w:r>
    </w:p>
    <w:p>
      <w:pPr>
        <w:pStyle w:val="11"/>
        <w:keepNext w:val="0"/>
        <w:keepLines w:val="0"/>
        <w:pageBreakBefore w:val="0"/>
        <w:widowControl w:val="0"/>
        <w:numPr>
          <w:ilvl w:val="0"/>
          <w:numId w:val="1"/>
        </w:numPr>
        <w:tabs>
          <w:tab w:val="left" w:pos="1418"/>
        </w:tabs>
        <w:kinsoku/>
        <w:wordWrap/>
        <w:overflowPunct w:val="0"/>
        <w:topLinePunct w:val="0"/>
        <w:autoSpaceDE/>
        <w:autoSpaceDN/>
        <w:bidi w:val="0"/>
        <w:adjustRightInd/>
        <w:snapToGrid w:val="0"/>
        <w:spacing w:line="600" w:lineRule="exact"/>
        <w:ind w:left="0" w:leftChars="0" w:right="0" w:rightChars="0" w:firstLine="640"/>
        <w:jc w:val="both"/>
        <w:textAlignment w:val="auto"/>
        <w:outlineLvl w:val="9"/>
        <w:rPr>
          <w:rFonts w:ascii="Times New Roman" w:hAnsi="Times New Roman" w:eastAsia="方正仿宋_GBK"/>
          <w:sz w:val="32"/>
          <w:szCs w:val="32"/>
        </w:rPr>
      </w:pPr>
      <w:r>
        <w:rPr>
          <w:rFonts w:ascii="Times New Roman" w:hAnsi="方正仿宋_GBK" w:eastAsia="方正仿宋_GBK"/>
          <w:sz w:val="32"/>
          <w:szCs w:val="32"/>
        </w:rPr>
        <w:t>行业协会商会分支（代表）机构在行业协会商会授权范围内可以依据行业协会商会会费标准代表行业协会商会收取会费，其收取的会费属于该行业协会商会所有，应当缴入行业协会商会对应账户统一核算、管理，不得计入其他单位、组织或个人账户，不得截留会费收入。会费不得重复收取，行业协会商会及分支（代表）机构不得向同一家会员企业分别收取会费。行业协会商会分支（代表）机构不得单独制定会费标准，已单独制定会费标准的，要召开会员大会或会员代表大会进行整改。</w:t>
      </w:r>
    </w:p>
    <w:p>
      <w:pPr>
        <w:pStyle w:val="11"/>
        <w:keepNext w:val="0"/>
        <w:keepLines w:val="0"/>
        <w:pageBreakBefore w:val="0"/>
        <w:widowControl w:val="0"/>
        <w:numPr>
          <w:ilvl w:val="0"/>
          <w:numId w:val="1"/>
        </w:numPr>
        <w:tabs>
          <w:tab w:val="left" w:pos="1418"/>
        </w:tabs>
        <w:kinsoku/>
        <w:wordWrap/>
        <w:overflowPunct w:val="0"/>
        <w:topLinePunct w:val="0"/>
        <w:autoSpaceDE/>
        <w:autoSpaceDN/>
        <w:bidi w:val="0"/>
        <w:adjustRightInd/>
        <w:snapToGrid w:val="0"/>
        <w:spacing w:line="600" w:lineRule="exact"/>
        <w:ind w:left="0" w:leftChars="0" w:right="0" w:rightChars="0" w:firstLine="640"/>
        <w:jc w:val="both"/>
        <w:textAlignment w:val="auto"/>
        <w:outlineLvl w:val="9"/>
        <w:rPr>
          <w:rFonts w:ascii="Times New Roman" w:hAnsi="Times New Roman" w:eastAsia="方正仿宋_GBK"/>
          <w:sz w:val="32"/>
          <w:szCs w:val="32"/>
        </w:rPr>
      </w:pPr>
      <w:r>
        <w:rPr>
          <w:rFonts w:ascii="Times New Roman" w:hAnsi="方正仿宋_GBK" w:eastAsia="方正仿宋_GBK"/>
          <w:sz w:val="32"/>
          <w:szCs w:val="32"/>
        </w:rPr>
        <w:t>行业协会商会收取会费，应当按照规定使用财政部门印</w:t>
      </w:r>
      <w:r>
        <w:rPr>
          <w:rFonts w:hint="eastAsia" w:ascii="Times New Roman" w:hAnsi="Times New Roman" w:eastAsia="方正仿宋_GBK"/>
          <w:sz w:val="32"/>
          <w:szCs w:val="32"/>
        </w:rPr>
        <w:t>（</w:t>
      </w:r>
      <w:r>
        <w:rPr>
          <w:rFonts w:ascii="Times New Roman" w:hAnsi="方正仿宋_GBK" w:eastAsia="方正仿宋_GBK"/>
          <w:sz w:val="32"/>
          <w:szCs w:val="32"/>
        </w:rPr>
        <w:t>监</w:t>
      </w:r>
      <w:r>
        <w:rPr>
          <w:rFonts w:hint="eastAsia" w:ascii="Times New Roman" w:hAnsi="Times New Roman" w:eastAsia="方正仿宋_GBK"/>
          <w:sz w:val="32"/>
          <w:szCs w:val="32"/>
        </w:rPr>
        <w:t>）</w:t>
      </w:r>
      <w:r>
        <w:rPr>
          <w:rFonts w:ascii="Times New Roman" w:hAnsi="方正仿宋_GBK" w:eastAsia="方正仿宋_GBK"/>
          <w:sz w:val="32"/>
          <w:szCs w:val="32"/>
        </w:rPr>
        <w:t>制的社会团体会费收据。除会费以外，其他收入不得使用社会团体会费收据。</w:t>
      </w:r>
    </w:p>
    <w:p>
      <w:pPr>
        <w:pStyle w:val="11"/>
        <w:keepNext w:val="0"/>
        <w:keepLines w:val="0"/>
        <w:pageBreakBefore w:val="0"/>
        <w:widowControl w:val="0"/>
        <w:tabs>
          <w:tab w:val="left" w:pos="1418"/>
        </w:tabs>
        <w:kinsoku/>
        <w:wordWrap/>
        <w:overflowPunct w:val="0"/>
        <w:topLinePunct w:val="0"/>
        <w:autoSpaceDE/>
        <w:autoSpaceDN/>
        <w:bidi w:val="0"/>
        <w:adjustRightInd/>
        <w:snapToGrid w:val="0"/>
        <w:spacing w:line="600" w:lineRule="exact"/>
        <w:ind w:left="0" w:leftChars="0" w:right="0" w:rightChars="0" w:firstLine="640"/>
        <w:jc w:val="both"/>
        <w:textAlignment w:val="auto"/>
        <w:outlineLvl w:val="9"/>
        <w:rPr>
          <w:rFonts w:ascii="Times New Roman" w:hAnsi="Times New Roman" w:eastAsia="方正仿宋_GBK"/>
          <w:sz w:val="32"/>
          <w:szCs w:val="32"/>
        </w:rPr>
      </w:pPr>
      <w:r>
        <w:rPr>
          <w:rFonts w:ascii="Times New Roman" w:hAnsi="方正仿宋_GBK" w:eastAsia="方正仿宋_GBK"/>
          <w:sz w:val="32"/>
          <w:szCs w:val="32"/>
        </w:rPr>
        <w:t>内部独立核算的行业协会商会分支（代表）机构使用的会费收据等由行业协会商会提供，按照法律法规和行业协会商会的规定使用，并接受有关政府部门和行业协会商会的监督管理。</w:t>
      </w:r>
    </w:p>
    <w:p>
      <w:pPr>
        <w:pStyle w:val="11"/>
        <w:keepNext w:val="0"/>
        <w:keepLines w:val="0"/>
        <w:pageBreakBefore w:val="0"/>
        <w:widowControl w:val="0"/>
        <w:numPr>
          <w:ilvl w:val="0"/>
          <w:numId w:val="1"/>
        </w:numPr>
        <w:tabs>
          <w:tab w:val="left" w:pos="1418"/>
        </w:tabs>
        <w:kinsoku/>
        <w:wordWrap/>
        <w:overflowPunct w:val="0"/>
        <w:topLinePunct w:val="0"/>
        <w:autoSpaceDE/>
        <w:autoSpaceDN/>
        <w:bidi w:val="0"/>
        <w:adjustRightInd/>
        <w:snapToGrid w:val="0"/>
        <w:spacing w:line="600" w:lineRule="exact"/>
        <w:ind w:left="0" w:leftChars="0" w:right="0" w:rightChars="0" w:firstLine="640"/>
        <w:jc w:val="both"/>
        <w:textAlignment w:val="auto"/>
        <w:outlineLvl w:val="9"/>
        <w:rPr>
          <w:rFonts w:ascii="Times New Roman" w:hAnsi="Times New Roman" w:eastAsia="方正仿宋_GBK"/>
          <w:sz w:val="32"/>
          <w:szCs w:val="32"/>
        </w:rPr>
      </w:pPr>
      <w:r>
        <w:rPr>
          <w:rFonts w:ascii="Times New Roman" w:hAnsi="方正仿宋_GBK" w:eastAsia="方正仿宋_GBK"/>
          <w:sz w:val="32"/>
          <w:szCs w:val="32"/>
        </w:rPr>
        <w:t>行业协会商会的财务会计报告编制范围和审计报告审计范围应当包含所有分支（代表）机构的全部收支。行业协会商会应当建立分支（代表）机构财务管理制度，加强内部监督，规范分支（代表）机构的财务管理。</w:t>
      </w:r>
    </w:p>
    <w:p>
      <w:pPr>
        <w:pStyle w:val="11"/>
        <w:keepNext w:val="0"/>
        <w:keepLines w:val="0"/>
        <w:pageBreakBefore w:val="0"/>
        <w:widowControl w:val="0"/>
        <w:numPr>
          <w:ilvl w:val="0"/>
          <w:numId w:val="1"/>
        </w:numPr>
        <w:tabs>
          <w:tab w:val="left" w:pos="1418"/>
        </w:tabs>
        <w:kinsoku/>
        <w:wordWrap/>
        <w:overflowPunct w:val="0"/>
        <w:topLinePunct w:val="0"/>
        <w:autoSpaceDE/>
        <w:autoSpaceDN/>
        <w:bidi w:val="0"/>
        <w:adjustRightInd/>
        <w:snapToGrid w:val="0"/>
        <w:spacing w:line="600" w:lineRule="exact"/>
        <w:ind w:left="0" w:leftChars="0" w:right="0" w:rightChars="0" w:firstLine="640"/>
        <w:jc w:val="both"/>
        <w:textAlignment w:val="auto"/>
        <w:outlineLvl w:val="9"/>
        <w:rPr>
          <w:rFonts w:ascii="Times New Roman" w:hAnsi="Times New Roman" w:eastAsia="方正仿宋_GBK"/>
          <w:sz w:val="32"/>
          <w:szCs w:val="32"/>
        </w:rPr>
      </w:pPr>
      <w:r>
        <w:rPr>
          <w:rFonts w:ascii="Times New Roman" w:hAnsi="方正仿宋_GBK" w:eastAsia="方正仿宋_GBK"/>
          <w:sz w:val="32"/>
          <w:szCs w:val="32"/>
        </w:rPr>
        <w:t>行业协会商会应当自通过会费标准决议之日起</w:t>
      </w:r>
      <w:r>
        <w:rPr>
          <w:rFonts w:ascii="Times New Roman" w:hAnsi="Times New Roman" w:eastAsia="方正仿宋_GBK"/>
          <w:sz w:val="32"/>
          <w:szCs w:val="32"/>
        </w:rPr>
        <w:t>30</w:t>
      </w:r>
      <w:r>
        <w:rPr>
          <w:rFonts w:ascii="Times New Roman" w:hAnsi="方正仿宋_GBK" w:eastAsia="方正仿宋_GBK"/>
          <w:sz w:val="32"/>
          <w:szCs w:val="32"/>
        </w:rPr>
        <w:t>日内，将决议向全体会员公开。行业协会商会会费应设立专账管理，每年向会员公布会费收支情况，定期接受会员大会或者会员代表大会的审查，并在年检时填报会费收支情况。</w:t>
      </w:r>
    </w:p>
    <w:p>
      <w:pPr>
        <w:pStyle w:val="11"/>
        <w:keepNext w:val="0"/>
        <w:keepLines w:val="0"/>
        <w:pageBreakBefore w:val="0"/>
        <w:widowControl w:val="0"/>
        <w:tabs>
          <w:tab w:val="left" w:pos="1418"/>
        </w:tabs>
        <w:kinsoku/>
        <w:wordWrap/>
        <w:overflowPunct w:val="0"/>
        <w:topLinePunct w:val="0"/>
        <w:autoSpaceDE/>
        <w:autoSpaceDN/>
        <w:bidi w:val="0"/>
        <w:adjustRightInd/>
        <w:snapToGrid w:val="0"/>
        <w:spacing w:line="600" w:lineRule="exact"/>
        <w:ind w:left="0" w:leftChars="0" w:right="0" w:rightChars="0" w:firstLine="640"/>
        <w:jc w:val="both"/>
        <w:textAlignment w:val="auto"/>
        <w:outlineLvl w:val="9"/>
        <w:rPr>
          <w:rFonts w:ascii="Times New Roman" w:hAnsi="Times New Roman" w:eastAsia="方正仿宋_GBK"/>
          <w:sz w:val="32"/>
          <w:szCs w:val="32"/>
        </w:rPr>
      </w:pPr>
      <w:r>
        <w:rPr>
          <w:rFonts w:ascii="Times New Roman" w:hAnsi="方正仿宋_GBK" w:eastAsia="方正仿宋_GBK"/>
          <w:sz w:val="32"/>
          <w:szCs w:val="32"/>
        </w:rPr>
        <w:t>行业协会商会要通过本会门户网站和微博、微信、客户端等渠道及时公开会费标准和收取、管理使用等相关信息。同时按照国家发展改革委关于组织开展收费信息集中公示的要求，依托</w:t>
      </w:r>
      <w:r>
        <w:rPr>
          <w:rFonts w:ascii="Times New Roman" w:hAnsi="Times New Roman" w:eastAsia="方正仿宋_GBK"/>
          <w:sz w:val="32"/>
          <w:szCs w:val="32"/>
        </w:rPr>
        <w:t xml:space="preserve"> “</w:t>
      </w:r>
      <w:r>
        <w:rPr>
          <w:rFonts w:ascii="Times New Roman" w:hAnsi="方正仿宋_GBK" w:eastAsia="方正仿宋_GBK"/>
          <w:sz w:val="32"/>
          <w:szCs w:val="32"/>
        </w:rPr>
        <w:t>信用中国</w:t>
      </w:r>
      <w:r>
        <w:rPr>
          <w:rFonts w:ascii="Times New Roman" w:hAnsi="Times New Roman" w:eastAsia="方正仿宋_GBK"/>
          <w:sz w:val="32"/>
          <w:szCs w:val="32"/>
        </w:rPr>
        <w:t>”</w:t>
      </w:r>
      <w:r>
        <w:rPr>
          <w:rFonts w:ascii="Times New Roman" w:hAnsi="方正仿宋_GBK" w:eastAsia="方正仿宋_GBK"/>
          <w:sz w:val="32"/>
          <w:szCs w:val="32"/>
        </w:rPr>
        <w:t>网站的</w:t>
      </w:r>
      <w:r>
        <w:rPr>
          <w:rFonts w:ascii="Times New Roman" w:hAnsi="Times New Roman" w:eastAsia="方正仿宋_GBK"/>
          <w:sz w:val="32"/>
          <w:szCs w:val="32"/>
        </w:rPr>
        <w:t>“</w:t>
      </w:r>
      <w:r>
        <w:rPr>
          <w:rFonts w:ascii="Times New Roman" w:hAnsi="方正仿宋_GBK" w:eastAsia="方正仿宋_GBK"/>
          <w:sz w:val="32"/>
          <w:szCs w:val="32"/>
        </w:rPr>
        <w:t>行业协会商会收费信息公示系统</w:t>
      </w:r>
      <w:r>
        <w:rPr>
          <w:rFonts w:ascii="Times New Roman" w:hAnsi="Times New Roman" w:eastAsia="方正仿宋_GBK"/>
          <w:sz w:val="32"/>
          <w:szCs w:val="32"/>
        </w:rPr>
        <w:t>”</w:t>
      </w:r>
      <w:r>
        <w:rPr>
          <w:rFonts w:ascii="Times New Roman" w:hAnsi="方正仿宋_GBK" w:eastAsia="方正仿宋_GBK"/>
          <w:sz w:val="32"/>
          <w:szCs w:val="32"/>
        </w:rPr>
        <w:t>，集中公示并定期更新会费及相关收费项目、收费性质、服务内容、收费标准及依据等信息，建立收费信息主动公开长效机制。公示信息接受社会监督，并作为价格监督检查机构开展行业协会商会违规收费检查的重要参考依据。</w:t>
      </w:r>
    </w:p>
    <w:p>
      <w:pPr>
        <w:pStyle w:val="11"/>
        <w:keepNext w:val="0"/>
        <w:keepLines w:val="0"/>
        <w:pageBreakBefore w:val="0"/>
        <w:widowControl w:val="0"/>
        <w:numPr>
          <w:ilvl w:val="0"/>
          <w:numId w:val="1"/>
        </w:numPr>
        <w:tabs>
          <w:tab w:val="left" w:pos="1418"/>
        </w:tabs>
        <w:kinsoku/>
        <w:wordWrap/>
        <w:overflowPunct w:val="0"/>
        <w:topLinePunct w:val="0"/>
        <w:autoSpaceDE/>
        <w:autoSpaceDN/>
        <w:bidi w:val="0"/>
        <w:adjustRightInd/>
        <w:snapToGrid w:val="0"/>
        <w:spacing w:line="600" w:lineRule="exact"/>
        <w:ind w:left="0" w:leftChars="0" w:right="0" w:rightChars="0" w:firstLine="640"/>
        <w:jc w:val="both"/>
        <w:textAlignment w:val="auto"/>
        <w:outlineLvl w:val="9"/>
        <w:rPr>
          <w:rFonts w:ascii="Times New Roman" w:hAnsi="Times New Roman" w:eastAsia="方正仿宋_GBK"/>
          <w:sz w:val="32"/>
          <w:szCs w:val="32"/>
        </w:rPr>
      </w:pPr>
      <w:r>
        <w:rPr>
          <w:rFonts w:ascii="Times New Roman" w:hAnsi="方正仿宋_GBK" w:eastAsia="方正仿宋_GBK"/>
          <w:sz w:val="32"/>
          <w:szCs w:val="32"/>
        </w:rPr>
        <w:t>各行业协会商会要对照有关规定及本通知要求，认真梳理会费收取、管理和使用情况，凡不符合本通知要求的要切实加以整改。整改中，新的会费标准与原有会费标准持平或降低，可以由理事会（或常务理事会）表决通过，待下次会员（代表）大会时再以无记名投票表决追认；新的会费标准比原有会费标准提高的，必须召开会员（代表）大会并以无记名投票方式表决通过。如不涉及会费标准的调整，只是明确基本服务项目的，可由理事会（或常务理事会）表决通过，待下次会员（代表）大会时再以无记名投票表决追认。各行业协会商会要在</w:t>
      </w:r>
      <w:r>
        <w:rPr>
          <w:rFonts w:ascii="Times New Roman" w:hAnsi="Times New Roman" w:eastAsia="方正仿宋_GBK"/>
          <w:sz w:val="32"/>
          <w:szCs w:val="32"/>
        </w:rPr>
        <w:t>2018</w:t>
      </w:r>
      <w:r>
        <w:rPr>
          <w:rFonts w:ascii="Times New Roman" w:hAnsi="方正仿宋_GBK" w:eastAsia="方正仿宋_GBK"/>
          <w:sz w:val="32"/>
          <w:szCs w:val="32"/>
        </w:rPr>
        <w:t>年</w:t>
      </w:r>
      <w:r>
        <w:rPr>
          <w:rFonts w:ascii="Times New Roman" w:hAnsi="Times New Roman" w:eastAsia="方正仿宋_GBK"/>
          <w:sz w:val="32"/>
          <w:szCs w:val="32"/>
        </w:rPr>
        <w:t>6</w:t>
      </w:r>
      <w:r>
        <w:rPr>
          <w:rFonts w:ascii="Times New Roman" w:hAnsi="方正仿宋_GBK" w:eastAsia="方正仿宋_GBK"/>
          <w:sz w:val="32"/>
          <w:szCs w:val="32"/>
        </w:rPr>
        <w:t>月</w:t>
      </w:r>
      <w:r>
        <w:rPr>
          <w:rFonts w:ascii="Times New Roman" w:hAnsi="Times New Roman" w:eastAsia="方正仿宋_GBK"/>
          <w:sz w:val="32"/>
          <w:szCs w:val="32"/>
        </w:rPr>
        <w:t>30</w:t>
      </w:r>
      <w:r>
        <w:rPr>
          <w:rFonts w:ascii="Times New Roman" w:hAnsi="方正仿宋_GBK" w:eastAsia="方正仿宋_GBK"/>
          <w:sz w:val="32"/>
          <w:szCs w:val="32"/>
        </w:rPr>
        <w:t>日前向登记管理机关报送《行业协会商会会费标准及整改情况表》（见附件）。未整改到位的，不得在</w:t>
      </w:r>
      <w:r>
        <w:rPr>
          <w:rFonts w:ascii="Times New Roman" w:hAnsi="Times New Roman" w:eastAsia="方正仿宋_GBK"/>
          <w:sz w:val="32"/>
          <w:szCs w:val="32"/>
        </w:rPr>
        <w:t>2018</w:t>
      </w:r>
      <w:r>
        <w:rPr>
          <w:rFonts w:ascii="Times New Roman" w:hAnsi="方正仿宋_GBK" w:eastAsia="方正仿宋_GBK"/>
          <w:sz w:val="32"/>
          <w:szCs w:val="32"/>
        </w:rPr>
        <w:t>年及以后收取会费。</w:t>
      </w:r>
    </w:p>
    <w:p>
      <w:pPr>
        <w:pStyle w:val="11"/>
        <w:keepNext w:val="0"/>
        <w:keepLines w:val="0"/>
        <w:pageBreakBefore w:val="0"/>
        <w:widowControl w:val="0"/>
        <w:numPr>
          <w:ilvl w:val="0"/>
          <w:numId w:val="1"/>
        </w:numPr>
        <w:tabs>
          <w:tab w:val="left" w:pos="1418"/>
        </w:tabs>
        <w:kinsoku/>
        <w:wordWrap/>
        <w:overflowPunct w:val="0"/>
        <w:topLinePunct w:val="0"/>
        <w:autoSpaceDE/>
        <w:autoSpaceDN/>
        <w:bidi w:val="0"/>
        <w:adjustRightInd/>
        <w:snapToGrid w:val="0"/>
        <w:spacing w:line="600" w:lineRule="exact"/>
        <w:ind w:left="0" w:leftChars="0" w:right="0" w:rightChars="0" w:firstLine="640"/>
        <w:jc w:val="both"/>
        <w:textAlignment w:val="auto"/>
        <w:outlineLvl w:val="9"/>
        <w:rPr>
          <w:rFonts w:ascii="Times New Roman" w:hAnsi="Times New Roman" w:eastAsia="方正仿宋_GBK"/>
          <w:sz w:val="32"/>
          <w:szCs w:val="32"/>
        </w:rPr>
      </w:pPr>
      <w:r>
        <w:rPr>
          <w:rFonts w:ascii="Times New Roman" w:hAnsi="方正仿宋_GBK" w:eastAsia="方正仿宋_GBK"/>
          <w:sz w:val="32"/>
          <w:szCs w:val="32"/>
        </w:rPr>
        <w:t>各级民政部门要将行业协会商会费标准调整和会费管理使用情况作为</w:t>
      </w:r>
      <w:r>
        <w:rPr>
          <w:rFonts w:ascii="Times New Roman" w:hAnsi="Times New Roman" w:eastAsia="方正仿宋_GBK"/>
          <w:sz w:val="32"/>
          <w:szCs w:val="32"/>
        </w:rPr>
        <w:t>“</w:t>
      </w:r>
      <w:r>
        <w:rPr>
          <w:rFonts w:ascii="Times New Roman" w:hAnsi="方正仿宋_GBK" w:eastAsia="方正仿宋_GBK"/>
          <w:sz w:val="32"/>
          <w:szCs w:val="32"/>
        </w:rPr>
        <w:t>双随机一抽查</w:t>
      </w:r>
      <w:r>
        <w:rPr>
          <w:rFonts w:ascii="Times New Roman" w:hAnsi="Times New Roman" w:eastAsia="方正仿宋_GBK"/>
          <w:sz w:val="32"/>
          <w:szCs w:val="32"/>
        </w:rPr>
        <w:t>”</w:t>
      </w:r>
      <w:r>
        <w:rPr>
          <w:rFonts w:ascii="Times New Roman" w:hAnsi="方正仿宋_GBK" w:eastAsia="方正仿宋_GBK"/>
          <w:sz w:val="32"/>
          <w:szCs w:val="32"/>
        </w:rPr>
        <w:t>、年度检查和社会组织等级评估的重要内容，同时作为政府购买服务、评先评优的重要参考，以提高行业协会商会守信收益，增加失信成本，形成不愿失信、不能失信、不敢失信、自觉守信的正确导向。</w:t>
      </w:r>
    </w:p>
    <w:p>
      <w:pPr>
        <w:keepNext w:val="0"/>
        <w:keepLines w:val="0"/>
        <w:pageBreakBefore w:val="0"/>
        <w:widowControl w:val="0"/>
        <w:kinsoku/>
        <w:wordWrap/>
        <w:overflowPunct w:val="0"/>
        <w:topLinePunct w:val="0"/>
        <w:autoSpaceDE/>
        <w:autoSpaceDN/>
        <w:bidi w:val="0"/>
        <w:adjustRightInd/>
        <w:snapToGrid w:val="0"/>
        <w:spacing w:line="600" w:lineRule="exact"/>
        <w:ind w:left="0" w:leftChars="0" w:right="0" w:rightChars="0" w:firstLine="640" w:firstLineChars="200"/>
        <w:jc w:val="both"/>
        <w:textAlignment w:val="auto"/>
        <w:outlineLvl w:val="9"/>
        <w:rPr>
          <w:rFonts w:ascii="Times New Roman" w:hAnsi="Times New Roman" w:eastAsia="方正仿宋_GBK"/>
          <w:sz w:val="32"/>
          <w:szCs w:val="32"/>
        </w:rPr>
      </w:pPr>
    </w:p>
    <w:p>
      <w:pPr>
        <w:keepNext w:val="0"/>
        <w:keepLines w:val="0"/>
        <w:pageBreakBefore w:val="0"/>
        <w:widowControl w:val="0"/>
        <w:kinsoku/>
        <w:wordWrap/>
        <w:overflowPunct w:val="0"/>
        <w:topLinePunct w:val="0"/>
        <w:autoSpaceDE/>
        <w:autoSpaceDN/>
        <w:bidi w:val="0"/>
        <w:adjustRightInd/>
        <w:snapToGrid w:val="0"/>
        <w:spacing w:line="600" w:lineRule="exact"/>
        <w:ind w:left="0" w:leftChars="0" w:right="0" w:rightChars="0" w:firstLine="640" w:firstLineChars="200"/>
        <w:jc w:val="both"/>
        <w:textAlignment w:val="auto"/>
        <w:outlineLvl w:val="9"/>
        <w:rPr>
          <w:rFonts w:ascii="Times New Roman" w:hAnsi="Times New Roman" w:eastAsia="方正仿宋_GBK"/>
          <w:sz w:val="32"/>
          <w:szCs w:val="32"/>
        </w:rPr>
      </w:pPr>
      <w:r>
        <w:rPr>
          <w:rFonts w:ascii="Times New Roman" w:hAnsi="方正仿宋_GBK" w:eastAsia="方正仿宋_GBK"/>
          <w:sz w:val="32"/>
          <w:szCs w:val="32"/>
        </w:rPr>
        <w:t>附件：《行业协会商会会费标准及整改情况表》</w:t>
      </w:r>
    </w:p>
    <w:p>
      <w:pPr>
        <w:overflowPunct w:val="0"/>
        <w:snapToGrid w:val="0"/>
        <w:spacing w:line="579" w:lineRule="exact"/>
        <w:ind w:firstLine="640" w:firstLineChars="200"/>
        <w:rPr>
          <w:rFonts w:ascii="Times New Roman" w:hAnsi="Times New Roman" w:eastAsia="方正仿宋_GBK"/>
          <w:sz w:val="32"/>
          <w:szCs w:val="32"/>
        </w:rPr>
      </w:pPr>
    </w:p>
    <w:p>
      <w:pPr>
        <w:overflowPunct w:val="0"/>
        <w:snapToGrid w:val="0"/>
        <w:spacing w:line="579" w:lineRule="exact"/>
        <w:ind w:firstLine="640" w:firstLineChars="200"/>
        <w:rPr>
          <w:rFonts w:ascii="Times New Roman" w:hAnsi="Times New Roman" w:eastAsia="方正仿宋_GBK"/>
          <w:sz w:val="32"/>
          <w:szCs w:val="32"/>
        </w:rPr>
      </w:pPr>
    </w:p>
    <w:p>
      <w:pPr>
        <w:wordWrap w:val="0"/>
        <w:overflowPunct w:val="0"/>
        <w:snapToGrid w:val="0"/>
        <w:spacing w:line="579" w:lineRule="exact"/>
        <w:jc w:val="right"/>
        <w:rPr>
          <w:rFonts w:ascii="Times New Roman" w:hAnsi="方正仿宋_GBK" w:eastAsia="方正仿宋_GBK"/>
          <w:sz w:val="32"/>
          <w:szCs w:val="32"/>
        </w:rPr>
      </w:pPr>
      <w:r>
        <w:rPr>
          <w:rFonts w:ascii="Times New Roman" w:hAnsi="方正仿宋_GBK" w:eastAsia="方正仿宋_GBK"/>
          <w:sz w:val="32"/>
          <w:szCs w:val="32"/>
        </w:rPr>
        <w:t>重庆市民政局</w:t>
      </w:r>
      <w:r>
        <w:rPr>
          <w:rFonts w:hint="eastAsia" w:ascii="Times New Roman" w:hAnsi="方正仿宋_GBK" w:eastAsia="方正仿宋_GBK"/>
          <w:sz w:val="32"/>
          <w:szCs w:val="32"/>
          <w:lang w:val="en-US" w:eastAsia="zh-CN"/>
        </w:rPr>
        <w:t xml:space="preserve">  </w:t>
      </w:r>
    </w:p>
    <w:p>
      <w:pPr>
        <w:wordWrap w:val="0"/>
        <w:overflowPunct w:val="0"/>
        <w:snapToGrid w:val="0"/>
        <w:spacing w:line="579" w:lineRule="exact"/>
        <w:jc w:val="right"/>
        <w:rPr>
          <w:rFonts w:ascii="Times New Roman" w:hAnsi="Times New Roman" w:eastAsia="方正仿宋_GBK"/>
          <w:sz w:val="32"/>
          <w:szCs w:val="32"/>
        </w:rPr>
      </w:pPr>
      <w:r>
        <w:rPr>
          <w:rFonts w:ascii="Times New Roman" w:hAnsi="Times New Roman" w:eastAsia="方正仿宋_GBK"/>
          <w:sz w:val="32"/>
          <w:szCs w:val="32"/>
        </w:rPr>
        <w:t xml:space="preserve"> 2018</w:t>
      </w:r>
      <w:r>
        <w:rPr>
          <w:rFonts w:ascii="Times New Roman" w:hAnsi="方正仿宋_GBK" w:eastAsia="方正仿宋_GBK"/>
          <w:sz w:val="32"/>
          <w:szCs w:val="32"/>
        </w:rPr>
        <w:t>年</w:t>
      </w:r>
      <w:r>
        <w:rPr>
          <w:rFonts w:ascii="Times New Roman" w:hAnsi="Times New Roman" w:eastAsia="方正仿宋_GBK"/>
          <w:sz w:val="32"/>
          <w:szCs w:val="32"/>
        </w:rPr>
        <w:t>4</w:t>
      </w:r>
      <w:r>
        <w:rPr>
          <w:rFonts w:ascii="Times New Roman" w:hAnsi="方正仿宋_GBK"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8</w:t>
      </w:r>
      <w:r>
        <w:rPr>
          <w:rFonts w:ascii="Times New Roman" w:hAnsi="方正仿宋_GBK" w:eastAsia="方正仿宋_GBK"/>
          <w:sz w:val="32"/>
          <w:szCs w:val="32"/>
        </w:rPr>
        <w:t>日</w:t>
      </w:r>
      <w:r>
        <w:rPr>
          <w:rFonts w:hint="eastAsia" w:ascii="Times New Roman" w:hAnsi="方正仿宋_GBK" w:eastAsia="方正仿宋_GBK"/>
          <w:sz w:val="32"/>
          <w:szCs w:val="32"/>
          <w:lang w:val="en-US" w:eastAsia="zh-CN"/>
        </w:rPr>
        <w:t xml:space="preserve"> </w:t>
      </w:r>
    </w:p>
    <w:p>
      <w:pPr>
        <w:widowControl/>
        <w:spacing w:line="440" w:lineRule="exact"/>
        <w:jc w:val="left"/>
        <w:textAlignment w:val="center"/>
        <w:rPr>
          <w:rFonts w:hint="eastAsia" w:ascii="方正黑体_GBK" w:hAnsi="方正楷体_GBK" w:eastAsia="方正黑体_GBK" w:cs="方正楷体_GBK"/>
          <w:sz w:val="32"/>
          <w:szCs w:val="32"/>
        </w:rPr>
      </w:pPr>
    </w:p>
    <w:p>
      <w:pPr>
        <w:widowControl/>
        <w:spacing w:line="440" w:lineRule="exact"/>
        <w:jc w:val="left"/>
        <w:textAlignment w:val="center"/>
        <w:rPr>
          <w:rFonts w:hint="eastAsia" w:ascii="方正黑体_GBK" w:hAnsi="方正楷体_GBK" w:eastAsia="方正黑体_GBK" w:cs="方正楷体_GBK"/>
          <w:sz w:val="32"/>
          <w:szCs w:val="32"/>
        </w:rPr>
      </w:pPr>
    </w:p>
    <w:p>
      <w:pPr>
        <w:widowControl/>
        <w:spacing w:line="440" w:lineRule="exact"/>
        <w:jc w:val="left"/>
        <w:textAlignment w:val="center"/>
        <w:rPr>
          <w:rFonts w:hint="eastAsia" w:ascii="方正黑体_GBK" w:hAnsi="方正楷体_GBK" w:eastAsia="方正黑体_GBK" w:cs="方正楷体_GBK"/>
          <w:sz w:val="32"/>
          <w:szCs w:val="32"/>
        </w:rPr>
      </w:pPr>
    </w:p>
    <w:p>
      <w:pPr>
        <w:widowControl/>
        <w:spacing w:line="440" w:lineRule="exact"/>
        <w:jc w:val="left"/>
        <w:textAlignment w:val="center"/>
        <w:rPr>
          <w:rFonts w:hint="eastAsia" w:ascii="方正黑体_GBK" w:hAnsi="方正楷体_GBK" w:eastAsia="方正黑体_GBK" w:cs="方正楷体_GBK"/>
          <w:sz w:val="32"/>
          <w:szCs w:val="32"/>
        </w:rPr>
      </w:pPr>
    </w:p>
    <w:p>
      <w:pPr>
        <w:widowControl/>
        <w:spacing w:line="440" w:lineRule="exact"/>
        <w:jc w:val="left"/>
        <w:textAlignment w:val="center"/>
        <w:rPr>
          <w:rFonts w:hint="eastAsia" w:ascii="方正黑体_GBK" w:hAnsi="方正楷体_GBK" w:eastAsia="方正黑体_GBK" w:cs="方正楷体_GBK"/>
          <w:sz w:val="32"/>
          <w:szCs w:val="32"/>
        </w:rPr>
      </w:pPr>
    </w:p>
    <w:p>
      <w:pPr>
        <w:widowControl/>
        <w:spacing w:line="440" w:lineRule="exact"/>
        <w:jc w:val="left"/>
        <w:textAlignment w:val="center"/>
        <w:rPr>
          <w:rFonts w:hint="eastAsia" w:ascii="方正黑体_GBK" w:hAnsi="方正楷体_GBK" w:eastAsia="方正黑体_GBK" w:cs="方正楷体_GBK"/>
          <w:sz w:val="32"/>
          <w:szCs w:val="32"/>
        </w:rPr>
      </w:pPr>
    </w:p>
    <w:p>
      <w:pPr>
        <w:widowControl/>
        <w:spacing w:line="440" w:lineRule="exact"/>
        <w:jc w:val="left"/>
        <w:textAlignment w:val="center"/>
        <w:rPr>
          <w:rFonts w:hint="eastAsia" w:ascii="方正黑体_GBK" w:hAnsi="方正楷体_GBK" w:eastAsia="方正黑体_GBK" w:cs="方正楷体_GBK"/>
          <w:sz w:val="32"/>
          <w:szCs w:val="32"/>
        </w:rPr>
      </w:pPr>
    </w:p>
    <w:p>
      <w:pPr>
        <w:widowControl/>
        <w:spacing w:line="440" w:lineRule="exact"/>
        <w:jc w:val="left"/>
        <w:textAlignment w:val="center"/>
        <w:rPr>
          <w:rFonts w:hint="eastAsia" w:ascii="方正黑体_GBK" w:hAnsi="方正楷体_GBK" w:eastAsia="方正黑体_GBK" w:cs="方正楷体_GBK"/>
          <w:sz w:val="32"/>
          <w:szCs w:val="32"/>
        </w:rPr>
      </w:pPr>
    </w:p>
    <w:p>
      <w:pPr>
        <w:widowControl/>
        <w:spacing w:line="440" w:lineRule="exact"/>
        <w:jc w:val="left"/>
        <w:textAlignment w:val="center"/>
        <w:rPr>
          <w:rFonts w:hint="eastAsia" w:ascii="方正黑体_GBK" w:hAnsi="方正楷体_GBK" w:eastAsia="方正黑体_GBK" w:cs="方正楷体_GBK"/>
          <w:sz w:val="32"/>
          <w:szCs w:val="32"/>
        </w:rPr>
      </w:pPr>
    </w:p>
    <w:p>
      <w:pPr>
        <w:widowControl/>
        <w:spacing w:line="440" w:lineRule="exact"/>
        <w:jc w:val="left"/>
        <w:textAlignment w:val="center"/>
        <w:rPr>
          <w:rFonts w:hint="eastAsia" w:ascii="方正黑体_GBK" w:hAnsi="方正楷体_GBK" w:eastAsia="方正黑体_GBK" w:cs="方正楷体_GBK"/>
          <w:sz w:val="32"/>
          <w:szCs w:val="32"/>
        </w:rPr>
      </w:pPr>
    </w:p>
    <w:p>
      <w:pPr>
        <w:widowControl/>
        <w:spacing w:line="440" w:lineRule="exact"/>
        <w:jc w:val="left"/>
        <w:textAlignment w:val="center"/>
        <w:rPr>
          <w:rFonts w:hint="eastAsia" w:ascii="方正黑体_GBK" w:hAnsi="方正楷体_GBK" w:eastAsia="方正黑体_GBK" w:cs="方正楷体_GBK"/>
          <w:sz w:val="32"/>
          <w:szCs w:val="32"/>
        </w:rPr>
      </w:pPr>
    </w:p>
    <w:p>
      <w:pPr>
        <w:widowControl/>
        <w:spacing w:line="440" w:lineRule="exact"/>
        <w:jc w:val="left"/>
        <w:textAlignment w:val="center"/>
        <w:rPr>
          <w:rFonts w:hint="eastAsia" w:ascii="方正黑体_GBK" w:hAnsi="方正楷体_GBK" w:eastAsia="方正黑体_GBK" w:cs="方正楷体_GBK"/>
          <w:sz w:val="32"/>
          <w:szCs w:val="32"/>
        </w:rPr>
      </w:pPr>
    </w:p>
    <w:p>
      <w:pPr>
        <w:widowControl/>
        <w:spacing w:line="440" w:lineRule="exact"/>
        <w:jc w:val="left"/>
        <w:textAlignment w:val="center"/>
        <w:rPr>
          <w:rFonts w:hint="eastAsia" w:ascii="方正黑体_GBK" w:hAnsi="方正楷体_GBK" w:eastAsia="方正黑体_GBK" w:cs="方正楷体_GBK"/>
          <w:sz w:val="32"/>
          <w:szCs w:val="32"/>
        </w:rPr>
      </w:pPr>
    </w:p>
    <w:p>
      <w:pPr>
        <w:widowControl/>
        <w:spacing w:line="440" w:lineRule="exact"/>
        <w:jc w:val="left"/>
        <w:textAlignment w:val="center"/>
        <w:rPr>
          <w:rFonts w:hint="eastAsia" w:ascii="方正黑体_GBK" w:hAnsi="方正楷体_GBK" w:eastAsia="方正黑体_GBK" w:cs="方正楷体_GBK"/>
          <w:sz w:val="32"/>
          <w:szCs w:val="32"/>
        </w:rPr>
      </w:pPr>
    </w:p>
    <w:p>
      <w:pPr>
        <w:widowControl/>
        <w:spacing w:line="440" w:lineRule="exact"/>
        <w:jc w:val="left"/>
        <w:textAlignment w:val="center"/>
        <w:rPr>
          <w:rFonts w:hint="eastAsia" w:ascii="方正黑体_GBK" w:hAnsi="方正楷体_GBK" w:eastAsia="方正黑体_GBK" w:cs="方正楷体_GBK"/>
          <w:sz w:val="32"/>
          <w:szCs w:val="32"/>
        </w:rPr>
      </w:pPr>
    </w:p>
    <w:p>
      <w:pPr>
        <w:widowControl/>
        <w:spacing w:line="440" w:lineRule="exact"/>
        <w:jc w:val="left"/>
        <w:textAlignment w:val="center"/>
        <w:rPr>
          <w:rFonts w:hint="eastAsia" w:ascii="方正黑体_GBK" w:hAnsi="方正楷体_GBK" w:eastAsia="方正黑体_GBK" w:cs="方正楷体_GBK"/>
          <w:sz w:val="32"/>
          <w:szCs w:val="32"/>
        </w:rPr>
      </w:pPr>
    </w:p>
    <w:p>
      <w:pPr>
        <w:widowControl/>
        <w:spacing w:line="440" w:lineRule="exact"/>
        <w:jc w:val="left"/>
        <w:textAlignment w:val="center"/>
        <w:rPr>
          <w:rFonts w:hint="eastAsia" w:ascii="方正黑体_GBK" w:hAnsi="方正楷体_GBK" w:eastAsia="方正黑体_GBK" w:cs="方正楷体_GBK"/>
          <w:sz w:val="32"/>
          <w:szCs w:val="32"/>
        </w:rPr>
      </w:pPr>
    </w:p>
    <w:p>
      <w:pPr>
        <w:widowControl/>
        <w:spacing w:line="440" w:lineRule="exact"/>
        <w:jc w:val="left"/>
        <w:textAlignment w:val="center"/>
        <w:rPr>
          <w:rFonts w:hint="eastAsia" w:ascii="方正黑体_GBK" w:hAnsi="方正楷体_GBK" w:eastAsia="方正黑体_GBK" w:cs="方正楷体_GBK"/>
          <w:sz w:val="32"/>
          <w:szCs w:val="32"/>
        </w:rPr>
      </w:pPr>
    </w:p>
    <w:p>
      <w:pPr>
        <w:widowControl/>
        <w:spacing w:line="440" w:lineRule="exact"/>
        <w:jc w:val="left"/>
        <w:textAlignment w:val="center"/>
        <w:rPr>
          <w:rFonts w:hint="eastAsia" w:ascii="方正黑体_GBK" w:hAnsi="方正楷体_GBK" w:eastAsia="方正黑体_GBK" w:cs="方正楷体_GBK"/>
          <w:sz w:val="32"/>
          <w:szCs w:val="32"/>
        </w:rPr>
      </w:pPr>
    </w:p>
    <w:p>
      <w:pPr>
        <w:widowControl/>
        <w:spacing w:line="440" w:lineRule="exact"/>
        <w:jc w:val="left"/>
        <w:textAlignment w:val="center"/>
        <w:rPr>
          <w:rFonts w:hint="eastAsia" w:ascii="方正黑体_GBK" w:hAnsi="方正楷体_GBK" w:eastAsia="方正黑体_GBK" w:cs="方正楷体_GBK"/>
          <w:sz w:val="32"/>
          <w:szCs w:val="32"/>
        </w:rPr>
      </w:pPr>
      <w:r>
        <w:rPr>
          <w:rFonts w:hint="eastAsia" w:ascii="方正黑体_GBK" w:hAnsi="方正楷体_GBK" w:eastAsia="方正黑体_GBK" w:cs="方正楷体_GBK"/>
          <w:sz w:val="32"/>
          <w:szCs w:val="32"/>
        </w:rPr>
        <w:t>附件</w:t>
      </w:r>
    </w:p>
    <w:tbl>
      <w:tblPr>
        <w:tblStyle w:val="9"/>
        <w:tblW w:w="10446" w:type="dxa"/>
        <w:jc w:val="center"/>
        <w:tblInd w:w="-214" w:type="dxa"/>
        <w:tblLayout w:type="fixed"/>
        <w:tblCellMar>
          <w:top w:w="15" w:type="dxa"/>
          <w:left w:w="15" w:type="dxa"/>
          <w:bottom w:w="15" w:type="dxa"/>
          <w:right w:w="15" w:type="dxa"/>
        </w:tblCellMar>
      </w:tblPr>
      <w:tblGrid>
        <w:gridCol w:w="1294"/>
        <w:gridCol w:w="1197"/>
        <w:gridCol w:w="48"/>
        <w:gridCol w:w="1080"/>
        <w:gridCol w:w="462"/>
        <w:gridCol w:w="618"/>
        <w:gridCol w:w="312"/>
        <w:gridCol w:w="768"/>
        <w:gridCol w:w="1080"/>
        <w:gridCol w:w="672"/>
        <w:gridCol w:w="408"/>
        <w:gridCol w:w="2507"/>
      </w:tblGrid>
      <w:tr>
        <w:tblPrEx>
          <w:tblLayout w:type="fixed"/>
          <w:tblCellMar>
            <w:top w:w="15" w:type="dxa"/>
            <w:left w:w="15" w:type="dxa"/>
            <w:bottom w:w="15" w:type="dxa"/>
            <w:right w:w="15" w:type="dxa"/>
          </w:tblCellMar>
        </w:tblPrEx>
        <w:trPr>
          <w:trHeight w:val="20" w:hRule="atLeast"/>
          <w:jc w:val="center"/>
        </w:trPr>
        <w:tc>
          <w:tcPr>
            <w:tcW w:w="10446" w:type="dxa"/>
            <w:gridSpan w:val="12"/>
            <w:shd w:val="clear" w:color="auto" w:fill="auto"/>
            <w:vAlign w:val="center"/>
          </w:tcPr>
          <w:p>
            <w:pPr>
              <w:overflowPunct w:val="0"/>
              <w:snapToGrid w:val="0"/>
              <w:jc w:val="center"/>
              <w:textAlignment w:val="center"/>
              <w:rPr>
                <w:rFonts w:ascii="方正黑体_GBK" w:hAnsi="方正黑体_GBK" w:eastAsia="方正黑体_GBK" w:cs="方正黑体_GBK"/>
                <w:sz w:val="30"/>
                <w:szCs w:val="30"/>
              </w:rPr>
            </w:pPr>
            <w:r>
              <w:rPr>
                <w:rFonts w:hint="eastAsia" w:ascii="方正黑体_GBK" w:hAnsi="方正黑体_GBK" w:eastAsia="方正黑体_GBK" w:cs="方正黑体_GBK"/>
                <w:sz w:val="44"/>
                <w:szCs w:val="44"/>
              </w:rPr>
              <w:t>行业协会商会会费标准及整改情况表</w:t>
            </w:r>
          </w:p>
          <w:p>
            <w:pPr>
              <w:overflowPunct w:val="0"/>
              <w:snapToGrid w:val="0"/>
              <w:jc w:val="left"/>
              <w:textAlignment w:val="center"/>
              <w:rPr>
                <w:rFonts w:ascii="方正黑体_GBK" w:hAnsi="方正黑体_GBK" w:eastAsia="方正黑体_GBK" w:cs="方正黑体_GBK"/>
                <w:sz w:val="44"/>
                <w:szCs w:val="44"/>
              </w:rPr>
            </w:pPr>
            <w:r>
              <w:rPr>
                <w:rFonts w:hint="eastAsia" w:ascii="宋体" w:hAnsi="宋体" w:cs="宋体"/>
                <w:kern w:val="0"/>
                <w:szCs w:val="21"/>
                <w:lang w:bidi="ar"/>
              </w:rPr>
              <w:t>法定代表人签字：                填报人：          联系方式：             填报单位（盖章）：</w:t>
            </w:r>
          </w:p>
        </w:tc>
      </w:tr>
      <w:tr>
        <w:tblPrEx>
          <w:tblLayout w:type="fixed"/>
          <w:tblCellMar>
            <w:top w:w="15" w:type="dxa"/>
            <w:left w:w="15" w:type="dxa"/>
            <w:bottom w:w="15" w:type="dxa"/>
            <w:right w:w="15" w:type="dxa"/>
          </w:tblCellMar>
        </w:tblPrEx>
        <w:trPr>
          <w:trHeight w:val="20" w:hRule="atLeast"/>
          <w:jc w:val="center"/>
        </w:trPr>
        <w:tc>
          <w:tcPr>
            <w:tcW w:w="10446" w:type="dxa"/>
            <w:gridSpan w:val="12"/>
            <w:tcBorders>
              <w:top w:val="single" w:color="000000" w:sz="12" w:space="0"/>
              <w:left w:val="single" w:color="000000" w:sz="12" w:space="0"/>
              <w:right w:val="single" w:color="000000" w:sz="12" w:space="0"/>
            </w:tcBorders>
            <w:shd w:val="clear" w:color="auto" w:fill="auto"/>
            <w:vAlign w:val="center"/>
          </w:tcPr>
          <w:p>
            <w:pPr>
              <w:overflowPunct w:val="0"/>
              <w:snapToGrid w:val="0"/>
              <w:jc w:val="center"/>
              <w:textAlignment w:val="center"/>
              <w:rPr>
                <w:rFonts w:ascii="宋体" w:hAnsi="宋体" w:cs="宋体"/>
                <w:sz w:val="44"/>
                <w:szCs w:val="44"/>
              </w:rPr>
            </w:pPr>
            <w:r>
              <w:rPr>
                <w:rFonts w:hint="eastAsia" w:ascii="宋体" w:hAnsi="宋体" w:cs="宋体"/>
                <w:kern w:val="0"/>
                <w:szCs w:val="21"/>
                <w:lang w:bidi="ar"/>
              </w:rPr>
              <w:t>原会费情况</w:t>
            </w:r>
          </w:p>
        </w:tc>
      </w:tr>
      <w:tr>
        <w:tblPrEx>
          <w:tblLayout w:type="fixed"/>
          <w:tblCellMar>
            <w:top w:w="15" w:type="dxa"/>
            <w:left w:w="15" w:type="dxa"/>
            <w:bottom w:w="15" w:type="dxa"/>
            <w:right w:w="15" w:type="dxa"/>
          </w:tblCellMar>
        </w:tblPrEx>
        <w:trPr>
          <w:trHeight w:val="20" w:hRule="atLeast"/>
          <w:jc w:val="center"/>
        </w:trPr>
        <w:tc>
          <w:tcPr>
            <w:tcW w:w="1294" w:type="dxa"/>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制定或修改会费标准的会议情况</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会议名称</w:t>
            </w:r>
          </w:p>
        </w:tc>
        <w:tc>
          <w:tcPr>
            <w:tcW w:w="7907" w:type="dxa"/>
            <w:gridSpan w:val="9"/>
            <w:tcBorders>
              <w:top w:val="single" w:color="000000" w:sz="4" w:space="0"/>
              <w:left w:val="single" w:color="000000" w:sz="4" w:space="0"/>
              <w:bottom w:val="single" w:color="000000" w:sz="4" w:space="0"/>
              <w:right w:val="single" w:color="000000" w:sz="12" w:space="0"/>
            </w:tcBorders>
            <w:shd w:val="clear" w:color="auto" w:fill="auto"/>
            <w:vAlign w:val="center"/>
          </w:tcPr>
          <w:p>
            <w:pPr>
              <w:overflowPunct w:val="0"/>
              <w:snapToGrid w:val="0"/>
              <w:jc w:val="center"/>
              <w:rPr>
                <w:rFonts w:ascii="宋体" w:hAnsi="宋体" w:cs="宋体"/>
                <w:szCs w:val="21"/>
              </w:rPr>
            </w:pPr>
          </w:p>
        </w:tc>
      </w:tr>
      <w:tr>
        <w:tblPrEx>
          <w:tblLayout w:type="fixed"/>
          <w:tblCellMar>
            <w:top w:w="15" w:type="dxa"/>
            <w:left w:w="15" w:type="dxa"/>
            <w:bottom w:w="15" w:type="dxa"/>
            <w:right w:w="15" w:type="dxa"/>
          </w:tblCellMar>
        </w:tblPrEx>
        <w:trPr>
          <w:trHeight w:val="20" w:hRule="atLeast"/>
          <w:jc w:val="center"/>
        </w:trPr>
        <w:tc>
          <w:tcPr>
            <w:tcW w:w="129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会议时间</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表决方式</w:t>
            </w:r>
          </w:p>
        </w:tc>
        <w:tc>
          <w:tcPr>
            <w:tcW w:w="3587"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w:t>
            </w:r>
            <w:r>
              <w:rPr>
                <w:rFonts w:hint="eastAsia" w:ascii="宋体" w:hAnsi="宋体" w:cs="宋体"/>
                <w:szCs w:val="21"/>
              </w:rPr>
              <w:t>投票</w:t>
            </w:r>
            <w:r>
              <w:rPr>
                <w:rFonts w:hint="eastAsia" w:ascii="宋体" w:hAnsi="宋体" w:cs="宋体"/>
                <w:szCs w:val="21"/>
                <w:lang w:val="en-US" w:eastAsia="zh-CN"/>
              </w:rPr>
              <w:t xml:space="preserve">   </w:t>
            </w:r>
            <w:r>
              <w:rPr>
                <w:rFonts w:hint="eastAsia" w:ascii="宋体" w:hAnsi="宋体" w:cs="宋体"/>
                <w:kern w:val="0"/>
                <w:szCs w:val="21"/>
                <w:lang w:bidi="ar"/>
              </w:rPr>
              <w:t>□</w:t>
            </w:r>
            <w:r>
              <w:rPr>
                <w:rFonts w:hint="eastAsia" w:ascii="宋体" w:hAnsi="宋体" w:cs="宋体"/>
                <w:szCs w:val="21"/>
              </w:rPr>
              <w:t xml:space="preserve">举手   </w:t>
            </w:r>
            <w:r>
              <w:rPr>
                <w:rFonts w:hint="eastAsia" w:ascii="宋体" w:hAnsi="宋体" w:cs="宋体"/>
                <w:kern w:val="0"/>
                <w:szCs w:val="21"/>
                <w:lang w:bidi="ar"/>
              </w:rPr>
              <w:t>□</w:t>
            </w:r>
            <w:r>
              <w:rPr>
                <w:rFonts w:hint="eastAsia" w:ascii="宋体" w:hAnsi="宋体" w:cs="宋体"/>
                <w:szCs w:val="21"/>
              </w:rPr>
              <w:t>鼓掌</w:t>
            </w:r>
          </w:p>
        </w:tc>
      </w:tr>
      <w:tr>
        <w:tblPrEx>
          <w:tblLayout w:type="fixed"/>
          <w:tblCellMar>
            <w:top w:w="15" w:type="dxa"/>
            <w:left w:w="15" w:type="dxa"/>
            <w:bottom w:w="15" w:type="dxa"/>
            <w:right w:w="15" w:type="dxa"/>
          </w:tblCellMar>
        </w:tblPrEx>
        <w:trPr>
          <w:trHeight w:val="20" w:hRule="atLeast"/>
          <w:jc w:val="center"/>
        </w:trPr>
        <w:tc>
          <w:tcPr>
            <w:tcW w:w="129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应出席人数</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rPr>
                <w:rFonts w:ascii="宋体" w:hAnsi="宋体" w:cs="宋体"/>
                <w:szCs w:val="21"/>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实际出席人数</w:t>
            </w:r>
          </w:p>
        </w:tc>
        <w:tc>
          <w:tcPr>
            <w:tcW w:w="3587"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overflowPunct w:val="0"/>
              <w:snapToGrid w:val="0"/>
              <w:jc w:val="center"/>
              <w:rPr>
                <w:rFonts w:ascii="宋体" w:hAnsi="宋体" w:cs="宋体"/>
                <w:szCs w:val="21"/>
              </w:rPr>
            </w:pPr>
          </w:p>
        </w:tc>
      </w:tr>
      <w:tr>
        <w:tblPrEx>
          <w:tblLayout w:type="fixed"/>
          <w:tblCellMar>
            <w:top w:w="15" w:type="dxa"/>
            <w:left w:w="15" w:type="dxa"/>
            <w:bottom w:w="15" w:type="dxa"/>
            <w:right w:w="15" w:type="dxa"/>
          </w:tblCellMar>
        </w:tblPrEx>
        <w:trPr>
          <w:trHeight w:val="20" w:hRule="atLeast"/>
          <w:jc w:val="center"/>
        </w:trPr>
        <w:tc>
          <w:tcPr>
            <w:tcW w:w="1294" w:type="dxa"/>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overflowPunct w:val="0"/>
              <w:snapToGrid w:val="0"/>
              <w:jc w:val="center"/>
              <w:rPr>
                <w:rFonts w:ascii="宋体" w:hAnsi="宋体" w:cs="宋体"/>
                <w:szCs w:val="21"/>
              </w:rPr>
            </w:pP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textAlignment w:val="center"/>
              <w:rPr>
                <w:rFonts w:ascii="宋体" w:hAnsi="宋体" w:cs="宋体"/>
                <w:szCs w:val="21"/>
              </w:rPr>
            </w:pPr>
            <w:r>
              <w:rPr>
                <w:rFonts w:hint="eastAsia" w:ascii="宋体" w:hAnsi="宋体" w:cs="宋体"/>
                <w:kern w:val="0"/>
                <w:szCs w:val="21"/>
                <w:lang w:bidi="ar"/>
              </w:rPr>
              <w:t>赞同人数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rPr>
                <w:rFonts w:ascii="宋体" w:hAnsi="宋体" w:cs="宋体"/>
                <w:szCs w:val="21"/>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textAlignment w:val="center"/>
              <w:rPr>
                <w:rFonts w:ascii="宋体" w:hAnsi="宋体" w:cs="宋体"/>
                <w:szCs w:val="21"/>
              </w:rPr>
            </w:pPr>
            <w:r>
              <w:rPr>
                <w:rFonts w:hint="eastAsia" w:ascii="宋体" w:hAnsi="宋体" w:cs="宋体"/>
                <w:kern w:val="0"/>
                <w:szCs w:val="21"/>
                <w:lang w:bidi="ar"/>
              </w:rPr>
              <w:t>反对人数</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rPr>
                <w:rFonts w:ascii="宋体" w:hAnsi="宋体" w:cs="宋体"/>
                <w:szCs w:val="21"/>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弃权人数</w:t>
            </w:r>
          </w:p>
        </w:tc>
        <w:tc>
          <w:tcPr>
            <w:tcW w:w="2507" w:type="dxa"/>
            <w:tcBorders>
              <w:top w:val="single" w:color="000000" w:sz="4" w:space="0"/>
              <w:left w:val="single" w:color="000000" w:sz="4" w:space="0"/>
              <w:bottom w:val="single" w:color="000000" w:sz="4" w:space="0"/>
              <w:right w:val="single" w:color="000000" w:sz="12" w:space="0"/>
            </w:tcBorders>
            <w:shd w:val="clear" w:color="auto" w:fill="auto"/>
            <w:vAlign w:val="center"/>
          </w:tcPr>
          <w:p>
            <w:pPr>
              <w:overflowPunct w:val="0"/>
              <w:snapToGrid w:val="0"/>
              <w:jc w:val="center"/>
              <w:rPr>
                <w:rFonts w:ascii="宋体" w:hAnsi="宋体" w:cs="宋体"/>
                <w:szCs w:val="21"/>
              </w:rPr>
            </w:pPr>
          </w:p>
        </w:tc>
      </w:tr>
      <w:tr>
        <w:tblPrEx>
          <w:tblLayout w:type="fixed"/>
          <w:tblCellMar>
            <w:top w:w="15" w:type="dxa"/>
            <w:left w:w="15" w:type="dxa"/>
            <w:bottom w:w="15" w:type="dxa"/>
            <w:right w:w="15" w:type="dxa"/>
          </w:tblCellMar>
        </w:tblPrEx>
        <w:trPr>
          <w:trHeight w:val="20" w:hRule="atLeast"/>
          <w:jc w:val="center"/>
        </w:trPr>
        <w:tc>
          <w:tcPr>
            <w:tcW w:w="2539" w:type="dxa"/>
            <w:gridSpan w:val="3"/>
            <w:tcBorders>
              <w:top w:val="single" w:color="000000" w:sz="4" w:space="0"/>
              <w:left w:val="single" w:color="000000" w:sz="12" w:space="0"/>
              <w:bottom w:val="single" w:color="000000" w:sz="12"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会费标准</w:t>
            </w:r>
          </w:p>
        </w:tc>
        <w:tc>
          <w:tcPr>
            <w:tcW w:w="7907" w:type="dxa"/>
            <w:gridSpan w:val="9"/>
            <w:tcBorders>
              <w:top w:val="single" w:color="000000" w:sz="4" w:space="0"/>
              <w:bottom w:val="single" w:color="000000" w:sz="12" w:space="0"/>
              <w:right w:val="single" w:color="000000" w:sz="12" w:space="0"/>
            </w:tcBorders>
            <w:shd w:val="clear" w:color="auto" w:fill="auto"/>
            <w:vAlign w:val="center"/>
          </w:tcPr>
          <w:p>
            <w:pPr>
              <w:overflowPunct w:val="0"/>
              <w:snapToGrid w:val="0"/>
              <w:jc w:val="center"/>
              <w:rPr>
                <w:rFonts w:ascii="宋体" w:hAnsi="宋体" w:cs="宋体"/>
                <w:szCs w:val="21"/>
              </w:rPr>
            </w:pPr>
          </w:p>
        </w:tc>
      </w:tr>
      <w:tr>
        <w:tblPrEx>
          <w:tblLayout w:type="fixed"/>
          <w:tblCellMar>
            <w:top w:w="15" w:type="dxa"/>
            <w:left w:w="15" w:type="dxa"/>
            <w:bottom w:w="15" w:type="dxa"/>
            <w:right w:w="15" w:type="dxa"/>
          </w:tblCellMar>
        </w:tblPrEx>
        <w:trPr>
          <w:trHeight w:val="20" w:hRule="atLeast"/>
          <w:jc w:val="center"/>
        </w:trPr>
        <w:tc>
          <w:tcPr>
            <w:tcW w:w="10446" w:type="dxa"/>
            <w:gridSpan w:val="12"/>
            <w:tcBorders>
              <w:top w:val="single" w:color="000000" w:sz="12" w:space="0"/>
              <w:left w:val="single" w:color="000000" w:sz="12" w:space="0"/>
              <w:bottom w:val="single" w:color="000000" w:sz="4" w:space="0"/>
              <w:right w:val="single" w:color="000000" w:sz="12"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按照发改经体〔2017</w:t>
            </w:r>
            <w:r>
              <w:rPr>
                <w:rStyle w:val="12"/>
                <w:rFonts w:hAnsi="宋体"/>
                <w:color w:val="auto"/>
                <w:lang w:bidi="ar"/>
              </w:rPr>
              <w:t>〕</w:t>
            </w:r>
            <w:r>
              <w:rPr>
                <w:rStyle w:val="13"/>
                <w:rFonts w:hint="default"/>
                <w:color w:val="auto"/>
                <w:lang w:bidi="ar"/>
              </w:rPr>
              <w:t>1999号文件，会费整改情况</w:t>
            </w:r>
          </w:p>
        </w:tc>
      </w:tr>
      <w:tr>
        <w:tblPrEx>
          <w:tblLayout w:type="fixed"/>
          <w:tblCellMar>
            <w:top w:w="15" w:type="dxa"/>
            <w:left w:w="15" w:type="dxa"/>
            <w:bottom w:w="15" w:type="dxa"/>
            <w:right w:w="15" w:type="dxa"/>
          </w:tblCellMar>
        </w:tblPrEx>
        <w:trPr>
          <w:trHeight w:val="20" w:hRule="atLeast"/>
          <w:jc w:val="center"/>
        </w:trPr>
        <w:tc>
          <w:tcPr>
            <w:tcW w:w="249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szCs w:val="21"/>
              </w:rPr>
              <w:t>是否符合</w:t>
            </w:r>
            <w:r>
              <w:rPr>
                <w:rFonts w:hint="eastAsia" w:ascii="宋体" w:hAnsi="宋体" w:cs="宋体"/>
                <w:kern w:val="0"/>
                <w:szCs w:val="21"/>
                <w:lang w:bidi="ar"/>
              </w:rPr>
              <w:t>发改经体〔2017〕1999号文件规定，会费不作调整</w:t>
            </w:r>
          </w:p>
        </w:tc>
        <w:tc>
          <w:tcPr>
            <w:tcW w:w="2520" w:type="dxa"/>
            <w:gridSpan w:val="5"/>
            <w:tcBorders>
              <w:top w:val="single" w:color="000000" w:sz="4" w:space="0"/>
              <w:left w:val="single" w:color="000000" w:sz="4" w:space="0"/>
              <w:bottom w:val="single" w:color="000000" w:sz="4" w:space="0"/>
              <w:right w:val="single" w:color="000000" w:sz="12" w:space="0"/>
            </w:tcBorders>
            <w:shd w:val="clear" w:color="auto" w:fill="auto"/>
            <w:vAlign w:val="center"/>
          </w:tcPr>
          <w:p>
            <w:pPr>
              <w:overflowPunct w:val="0"/>
              <w:snapToGrid w:val="0"/>
              <w:jc w:val="left"/>
              <w:textAlignment w:val="center"/>
              <w:rPr>
                <w:rFonts w:ascii="宋体" w:hAnsi="宋体" w:cs="宋体"/>
                <w:szCs w:val="21"/>
              </w:rPr>
            </w:pPr>
            <w:r>
              <w:rPr>
                <w:rFonts w:hint="eastAsia" w:ascii="宋体" w:hAnsi="宋体" w:cs="宋体"/>
                <w:kern w:val="0"/>
                <w:szCs w:val="21"/>
                <w:lang w:bidi="ar"/>
              </w:rPr>
              <w:t>□是   □否</w:t>
            </w:r>
          </w:p>
        </w:tc>
        <w:tc>
          <w:tcPr>
            <w:tcW w:w="2520"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overflowPunct w:val="0"/>
              <w:snapToGrid w:val="0"/>
              <w:jc w:val="center"/>
              <w:textAlignment w:val="center"/>
              <w:rPr>
                <w:rFonts w:ascii="宋体" w:hAnsi="宋体" w:cs="宋体"/>
                <w:kern w:val="0"/>
                <w:szCs w:val="21"/>
                <w:lang w:bidi="ar"/>
              </w:rPr>
            </w:pPr>
            <w:r>
              <w:rPr>
                <w:rFonts w:hint="eastAsia" w:ascii="宋体" w:hAnsi="宋体" w:cs="宋体"/>
                <w:kern w:val="0"/>
                <w:szCs w:val="21"/>
                <w:lang w:bidi="ar"/>
              </w:rPr>
              <w:t>是否按照发改经体〔2017〕1999号文件调整规范会费标准</w:t>
            </w:r>
          </w:p>
        </w:tc>
        <w:tc>
          <w:tcPr>
            <w:tcW w:w="2915"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overflowPunct w:val="0"/>
              <w:snapToGrid w:val="0"/>
              <w:jc w:val="left"/>
              <w:textAlignment w:val="center"/>
              <w:rPr>
                <w:rFonts w:ascii="宋体" w:hAnsi="宋体" w:cs="宋体"/>
                <w:kern w:val="0"/>
                <w:szCs w:val="21"/>
                <w:lang w:bidi="ar"/>
              </w:rPr>
            </w:pPr>
            <w:r>
              <w:rPr>
                <w:rFonts w:hint="eastAsia" w:ascii="宋体" w:hAnsi="宋体" w:cs="宋体"/>
                <w:kern w:val="0"/>
                <w:szCs w:val="21"/>
                <w:lang w:bidi="ar"/>
              </w:rPr>
              <w:t>□是   □否</w:t>
            </w:r>
          </w:p>
        </w:tc>
      </w:tr>
      <w:tr>
        <w:tblPrEx>
          <w:tblLayout w:type="fixed"/>
          <w:tblCellMar>
            <w:top w:w="15" w:type="dxa"/>
            <w:left w:w="15" w:type="dxa"/>
            <w:bottom w:w="15" w:type="dxa"/>
            <w:right w:w="15" w:type="dxa"/>
          </w:tblCellMar>
        </w:tblPrEx>
        <w:trPr>
          <w:trHeight w:val="1414" w:hRule="atLeast"/>
          <w:jc w:val="center"/>
        </w:trPr>
        <w:tc>
          <w:tcPr>
            <w:tcW w:w="249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overflowPunct w:val="0"/>
              <w:snapToGrid w:val="0"/>
              <w:textAlignment w:val="center"/>
              <w:rPr>
                <w:rFonts w:ascii="宋体" w:hAnsi="宋体" w:cs="宋体"/>
                <w:szCs w:val="21"/>
              </w:rPr>
            </w:pPr>
            <w:r>
              <w:rPr>
                <w:rFonts w:hint="eastAsia" w:ascii="宋体" w:hAnsi="宋体" w:cs="宋体"/>
                <w:kern w:val="0"/>
                <w:szCs w:val="21"/>
                <w:lang w:bidi="ar"/>
              </w:rPr>
              <w:t>调整后的会费标准情况</w:t>
            </w:r>
          </w:p>
        </w:tc>
        <w:tc>
          <w:tcPr>
            <w:tcW w:w="1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left"/>
              <w:textAlignment w:val="center"/>
              <w:rPr>
                <w:rFonts w:ascii="宋体" w:hAnsi="宋体" w:cs="宋体"/>
                <w:szCs w:val="21"/>
              </w:rPr>
            </w:pPr>
            <w:r>
              <w:rPr>
                <w:rFonts w:hint="eastAsia" w:ascii="宋体" w:hAnsi="宋体" w:cs="宋体"/>
                <w:kern w:val="0"/>
                <w:szCs w:val="21"/>
                <w:lang w:bidi="ar"/>
              </w:rPr>
              <w:t>调整后会费标准与原会费标准比较情况：</w:t>
            </w:r>
            <w:r>
              <w:rPr>
                <w:rFonts w:hint="eastAsia" w:ascii="宋体" w:hAnsi="宋体" w:cs="宋体"/>
                <w:kern w:val="0"/>
                <w:szCs w:val="21"/>
                <w:lang w:bidi="ar"/>
              </w:rPr>
              <w:br w:type="textWrapping"/>
            </w:r>
            <w:r>
              <w:rPr>
                <w:rFonts w:hint="eastAsia" w:ascii="宋体" w:hAnsi="宋体" w:cs="宋体"/>
                <w:kern w:val="0"/>
                <w:szCs w:val="21"/>
                <w:lang w:bidi="ar"/>
              </w:rPr>
              <w:t xml:space="preserve">□提高  </w:t>
            </w:r>
            <w:r>
              <w:rPr>
                <w:rFonts w:hint="eastAsia" w:ascii="宋体" w:hAnsi="宋体" w:cs="宋体"/>
                <w:kern w:val="0"/>
                <w:szCs w:val="21"/>
                <w:lang w:bidi="ar"/>
              </w:rPr>
              <w:br w:type="textWrapping"/>
            </w:r>
            <w:r>
              <w:rPr>
                <w:rFonts w:hint="eastAsia" w:ascii="宋体" w:hAnsi="宋体" w:cs="宋体"/>
                <w:kern w:val="0"/>
                <w:szCs w:val="21"/>
                <w:lang w:bidi="ar"/>
              </w:rPr>
              <w:t>□降低</w:t>
            </w:r>
            <w:r>
              <w:rPr>
                <w:rFonts w:hint="eastAsia" w:ascii="宋体" w:hAnsi="宋体" w:cs="宋体"/>
                <w:kern w:val="0"/>
                <w:szCs w:val="21"/>
                <w:lang w:bidi="ar"/>
              </w:rPr>
              <w:br w:type="textWrapping"/>
            </w:r>
            <w:r>
              <w:rPr>
                <w:rFonts w:hint="eastAsia" w:ascii="宋体" w:hAnsi="宋体" w:cs="宋体"/>
                <w:kern w:val="0"/>
                <w:szCs w:val="21"/>
                <w:lang w:bidi="ar"/>
              </w:rPr>
              <w:t>□不变</w:t>
            </w:r>
          </w:p>
        </w:tc>
        <w:tc>
          <w:tcPr>
            <w:tcW w:w="6365" w:type="dxa"/>
            <w:gridSpan w:val="7"/>
            <w:tcBorders>
              <w:top w:val="single" w:color="000000" w:sz="4" w:space="0"/>
              <w:left w:val="single" w:color="000000" w:sz="4" w:space="0"/>
              <w:bottom w:val="single" w:color="000000" w:sz="4" w:space="0"/>
              <w:right w:val="single" w:color="000000" w:sz="12" w:space="0"/>
            </w:tcBorders>
            <w:shd w:val="clear" w:color="auto" w:fill="auto"/>
            <w:vAlign w:val="center"/>
          </w:tcPr>
          <w:p>
            <w:pPr>
              <w:overflowPunct w:val="0"/>
              <w:snapToGrid w:val="0"/>
              <w:jc w:val="left"/>
              <w:textAlignment w:val="center"/>
              <w:rPr>
                <w:rFonts w:ascii="宋体" w:hAnsi="宋体" w:cs="宋体"/>
                <w:szCs w:val="21"/>
              </w:rPr>
            </w:pPr>
            <w:r>
              <w:rPr>
                <w:rFonts w:hint="eastAsia" w:ascii="宋体" w:hAnsi="宋体" w:cs="宋体"/>
                <w:kern w:val="0"/>
                <w:szCs w:val="21"/>
                <w:lang w:bidi="ar"/>
              </w:rPr>
              <w:t>召开会议的名称、时间及表决方式：</w:t>
            </w:r>
            <w:r>
              <w:rPr>
                <w:rStyle w:val="14"/>
                <w:rFonts w:hint="default"/>
                <w:color w:val="auto"/>
                <w:lang w:bidi="ar"/>
              </w:rPr>
              <w:t xml:space="preserve">            （</w:t>
            </w:r>
            <w:r>
              <w:rPr>
                <w:rStyle w:val="13"/>
                <w:rFonts w:hint="default"/>
                <w:color w:val="auto"/>
                <w:lang w:bidi="ar"/>
              </w:rPr>
              <w:t>会费标准如提高，则必须召开会员（代表）大会且以无记名投票方式表决；会费标准如降低或不变，可先召开理事会（常务理事会），在下次会员（代表）大会上以无记名投票方式表决追认）；如召开理事会（常务理事会），拟于（时间）召开会员（代表）大会追认。</w:t>
            </w:r>
          </w:p>
        </w:tc>
      </w:tr>
      <w:tr>
        <w:tblPrEx>
          <w:tblLayout w:type="fixed"/>
          <w:tblCellMar>
            <w:top w:w="15" w:type="dxa"/>
            <w:left w:w="15" w:type="dxa"/>
            <w:bottom w:w="15" w:type="dxa"/>
            <w:right w:w="15" w:type="dxa"/>
          </w:tblCellMar>
        </w:tblPrEx>
        <w:trPr>
          <w:trHeight w:val="20" w:hRule="atLeast"/>
          <w:jc w:val="center"/>
        </w:trPr>
        <w:tc>
          <w:tcPr>
            <w:tcW w:w="249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调整规范以产销量、企业规模为基数收取会费的情况</w:t>
            </w:r>
          </w:p>
        </w:tc>
        <w:tc>
          <w:tcPr>
            <w:tcW w:w="1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left"/>
              <w:textAlignment w:val="center"/>
              <w:rPr>
                <w:rFonts w:ascii="宋体" w:hAnsi="宋体" w:cs="宋体"/>
                <w:szCs w:val="21"/>
              </w:rPr>
            </w:pPr>
            <w:r>
              <w:rPr>
                <w:rFonts w:hint="eastAsia" w:ascii="宋体" w:hAnsi="宋体" w:cs="宋体"/>
                <w:kern w:val="0"/>
                <w:szCs w:val="21"/>
                <w:lang w:bidi="ar"/>
              </w:rPr>
              <w:t>□是</w:t>
            </w:r>
            <w:r>
              <w:rPr>
                <w:rFonts w:hint="eastAsia" w:ascii="宋体" w:hAnsi="宋体" w:cs="宋体"/>
                <w:kern w:val="0"/>
                <w:szCs w:val="21"/>
                <w:lang w:bidi="ar"/>
              </w:rPr>
              <w:br w:type="textWrapping"/>
            </w:r>
            <w:r>
              <w:rPr>
                <w:rFonts w:hint="eastAsia" w:ascii="宋体" w:hAnsi="宋体" w:cs="宋体"/>
                <w:kern w:val="0"/>
                <w:szCs w:val="21"/>
                <w:lang w:bidi="ar"/>
              </w:rPr>
              <w:br w:type="textWrapping"/>
            </w:r>
            <w:r>
              <w:rPr>
                <w:rFonts w:hint="eastAsia" w:ascii="宋体" w:hAnsi="宋体" w:cs="宋体"/>
                <w:kern w:val="0"/>
                <w:szCs w:val="21"/>
                <w:lang w:bidi="ar"/>
              </w:rPr>
              <w:t>□不涉及此项</w:t>
            </w:r>
          </w:p>
        </w:tc>
        <w:tc>
          <w:tcPr>
            <w:tcW w:w="6365" w:type="dxa"/>
            <w:gridSpan w:val="7"/>
            <w:tcBorders>
              <w:top w:val="single" w:color="000000" w:sz="4" w:space="0"/>
              <w:left w:val="single" w:color="000000" w:sz="4" w:space="0"/>
              <w:bottom w:val="single" w:color="000000" w:sz="4" w:space="0"/>
              <w:right w:val="single" w:color="000000" w:sz="12" w:space="0"/>
            </w:tcBorders>
            <w:shd w:val="clear" w:color="auto" w:fill="auto"/>
            <w:vAlign w:val="top"/>
          </w:tcPr>
          <w:p>
            <w:pPr>
              <w:overflowPunct w:val="0"/>
              <w:snapToGrid w:val="0"/>
              <w:jc w:val="left"/>
              <w:textAlignment w:val="top"/>
              <w:rPr>
                <w:rFonts w:ascii="宋体" w:hAnsi="宋体" w:cs="宋体"/>
                <w:szCs w:val="21"/>
              </w:rPr>
            </w:pPr>
            <w:r>
              <w:rPr>
                <w:rFonts w:hint="eastAsia" w:ascii="宋体" w:hAnsi="宋体" w:cs="宋体"/>
                <w:kern w:val="0"/>
                <w:szCs w:val="21"/>
                <w:lang w:bidi="ar"/>
              </w:rPr>
              <w:t>如选是，会费标准调整情况：</w:t>
            </w:r>
            <w:r>
              <w:rPr>
                <w:rFonts w:hint="eastAsia" w:ascii="宋体" w:hAnsi="宋体" w:cs="宋体"/>
                <w:kern w:val="0"/>
                <w:szCs w:val="21"/>
                <w:lang w:bidi="ar"/>
              </w:rPr>
              <w:br w:type="textWrapping"/>
            </w:r>
            <w:r>
              <w:rPr>
                <w:rFonts w:hint="eastAsia" w:ascii="宋体" w:hAnsi="宋体" w:cs="宋体"/>
                <w:kern w:val="0"/>
                <w:szCs w:val="21"/>
                <w:lang w:bidi="ar"/>
              </w:rPr>
              <w:t>□已调整会费计征方式；</w:t>
            </w:r>
            <w:r>
              <w:rPr>
                <w:rFonts w:hint="eastAsia" w:ascii="宋体" w:hAnsi="宋体" w:cs="宋体"/>
                <w:kern w:val="0"/>
                <w:szCs w:val="21"/>
                <w:lang w:bidi="ar"/>
              </w:rPr>
              <w:br w:type="textWrapping"/>
            </w:r>
            <w:r>
              <w:rPr>
                <w:rFonts w:hint="eastAsia" w:ascii="宋体" w:hAnsi="宋体" w:cs="宋体"/>
                <w:kern w:val="0"/>
                <w:szCs w:val="21"/>
                <w:lang w:bidi="ar"/>
              </w:rPr>
              <w:t>□按产销量、企业规模等方式确定会费档次，规定每一档次会费金额；</w:t>
            </w:r>
            <w:r>
              <w:rPr>
                <w:rFonts w:hint="eastAsia" w:ascii="宋体" w:hAnsi="宋体" w:cs="宋体"/>
                <w:kern w:val="0"/>
                <w:szCs w:val="21"/>
                <w:lang w:bidi="ar"/>
              </w:rPr>
              <w:br w:type="textWrapping"/>
            </w:r>
            <w:r>
              <w:rPr>
                <w:rFonts w:hint="eastAsia" w:ascii="宋体" w:hAnsi="宋体" w:cs="宋体"/>
                <w:kern w:val="0"/>
                <w:szCs w:val="21"/>
                <w:lang w:bidi="ar"/>
              </w:rPr>
              <w:t>□未调整会费标准</w:t>
            </w:r>
          </w:p>
        </w:tc>
      </w:tr>
      <w:tr>
        <w:tblPrEx>
          <w:tblLayout w:type="fixed"/>
          <w:tblCellMar>
            <w:top w:w="15" w:type="dxa"/>
            <w:left w:w="15" w:type="dxa"/>
            <w:bottom w:w="15" w:type="dxa"/>
            <w:right w:w="15" w:type="dxa"/>
          </w:tblCellMar>
        </w:tblPrEx>
        <w:trPr>
          <w:trHeight w:val="20" w:hRule="atLeast"/>
          <w:jc w:val="center"/>
        </w:trPr>
        <w:tc>
          <w:tcPr>
            <w:tcW w:w="249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取消分支（代表）机构单独制定会费标准情况</w:t>
            </w:r>
          </w:p>
        </w:tc>
        <w:tc>
          <w:tcPr>
            <w:tcW w:w="1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left"/>
              <w:textAlignment w:val="center"/>
              <w:rPr>
                <w:rFonts w:ascii="宋体" w:hAnsi="宋体" w:cs="宋体"/>
                <w:szCs w:val="21"/>
              </w:rPr>
            </w:pPr>
            <w:r>
              <w:rPr>
                <w:rFonts w:hint="eastAsia" w:ascii="宋体" w:hAnsi="宋体" w:cs="宋体"/>
                <w:kern w:val="0"/>
                <w:szCs w:val="21"/>
                <w:lang w:bidi="ar"/>
              </w:rPr>
              <w:t>□是</w:t>
            </w:r>
            <w:r>
              <w:rPr>
                <w:rFonts w:hint="eastAsia" w:ascii="宋体" w:hAnsi="宋体" w:cs="宋体"/>
                <w:kern w:val="0"/>
                <w:szCs w:val="21"/>
                <w:lang w:bidi="ar"/>
              </w:rPr>
              <w:br w:type="textWrapping"/>
            </w:r>
            <w:r>
              <w:rPr>
                <w:rFonts w:hint="eastAsia" w:ascii="宋体" w:hAnsi="宋体" w:cs="宋体"/>
                <w:kern w:val="0"/>
                <w:szCs w:val="21"/>
                <w:lang w:bidi="ar"/>
              </w:rPr>
              <w:br w:type="textWrapping"/>
            </w:r>
            <w:r>
              <w:rPr>
                <w:rFonts w:hint="eastAsia" w:ascii="宋体" w:hAnsi="宋体" w:cs="宋体"/>
                <w:kern w:val="0"/>
                <w:szCs w:val="21"/>
                <w:lang w:bidi="ar"/>
              </w:rPr>
              <w:t>□不涉及此项</w:t>
            </w:r>
          </w:p>
        </w:tc>
        <w:tc>
          <w:tcPr>
            <w:tcW w:w="6365" w:type="dxa"/>
            <w:gridSpan w:val="7"/>
            <w:tcBorders>
              <w:top w:val="single" w:color="000000" w:sz="4" w:space="0"/>
              <w:left w:val="single" w:color="000000" w:sz="4" w:space="0"/>
              <w:bottom w:val="single" w:color="000000" w:sz="4" w:space="0"/>
              <w:right w:val="single" w:color="000000" w:sz="12" w:space="0"/>
            </w:tcBorders>
            <w:shd w:val="clear" w:color="auto" w:fill="auto"/>
            <w:vAlign w:val="top"/>
          </w:tcPr>
          <w:p>
            <w:pPr>
              <w:overflowPunct w:val="0"/>
              <w:snapToGrid w:val="0"/>
              <w:jc w:val="left"/>
              <w:textAlignment w:val="top"/>
              <w:rPr>
                <w:rFonts w:ascii="宋体" w:hAnsi="宋体" w:cs="宋体"/>
                <w:szCs w:val="21"/>
              </w:rPr>
            </w:pPr>
            <w:r>
              <w:rPr>
                <w:rFonts w:hint="eastAsia" w:ascii="宋体" w:hAnsi="宋体" w:cs="宋体"/>
                <w:kern w:val="0"/>
                <w:szCs w:val="21"/>
                <w:lang w:bidi="ar"/>
              </w:rPr>
              <w:t>如选是，原</w:t>
            </w:r>
            <w:r>
              <w:rPr>
                <w:rStyle w:val="13"/>
                <w:rFonts w:hint="default"/>
                <w:color w:val="auto"/>
                <w:lang w:bidi="ar"/>
              </w:rPr>
              <w:t>家分支机构有会费标准，调整后，家分支（代表）机构会费已取消，家分支（代表）机构会费未取消</w:t>
            </w:r>
          </w:p>
        </w:tc>
      </w:tr>
      <w:tr>
        <w:tblPrEx>
          <w:tblLayout w:type="fixed"/>
          <w:tblCellMar>
            <w:top w:w="15" w:type="dxa"/>
            <w:left w:w="15" w:type="dxa"/>
            <w:bottom w:w="15" w:type="dxa"/>
            <w:right w:w="15" w:type="dxa"/>
          </w:tblCellMar>
        </w:tblPrEx>
        <w:trPr>
          <w:trHeight w:val="20" w:hRule="atLeast"/>
          <w:jc w:val="center"/>
        </w:trPr>
        <w:tc>
          <w:tcPr>
            <w:tcW w:w="2491" w:type="dxa"/>
            <w:gridSpan w:val="2"/>
            <w:tcBorders>
              <w:top w:val="single" w:color="000000" w:sz="4" w:space="0"/>
              <w:left w:val="single" w:color="000000" w:sz="12" w:space="0"/>
              <w:bottom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调整会费档次情况</w:t>
            </w:r>
          </w:p>
        </w:tc>
        <w:tc>
          <w:tcPr>
            <w:tcW w:w="15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left"/>
              <w:textAlignment w:val="center"/>
              <w:rPr>
                <w:rFonts w:ascii="宋体" w:hAnsi="宋体" w:cs="宋体"/>
                <w:szCs w:val="21"/>
              </w:rPr>
            </w:pPr>
            <w:r>
              <w:rPr>
                <w:rFonts w:hint="eastAsia" w:ascii="宋体" w:hAnsi="宋体" w:cs="宋体"/>
                <w:kern w:val="0"/>
                <w:szCs w:val="21"/>
                <w:lang w:bidi="ar"/>
              </w:rPr>
              <w:t>□是</w:t>
            </w:r>
            <w:r>
              <w:rPr>
                <w:rFonts w:hint="eastAsia" w:ascii="宋体" w:hAnsi="宋体" w:cs="宋体"/>
                <w:kern w:val="0"/>
                <w:szCs w:val="21"/>
                <w:lang w:bidi="ar"/>
              </w:rPr>
              <w:br w:type="textWrapping"/>
            </w:r>
            <w:r>
              <w:rPr>
                <w:rFonts w:hint="eastAsia" w:ascii="宋体" w:hAnsi="宋体" w:cs="宋体"/>
                <w:kern w:val="0"/>
                <w:szCs w:val="21"/>
                <w:lang w:bidi="ar"/>
              </w:rPr>
              <w:t>□不涉及此项</w:t>
            </w:r>
          </w:p>
        </w:tc>
        <w:tc>
          <w:tcPr>
            <w:tcW w:w="6365" w:type="dxa"/>
            <w:gridSpan w:val="7"/>
            <w:tcBorders>
              <w:top w:val="single" w:color="000000" w:sz="4" w:space="0"/>
              <w:left w:val="single" w:color="000000" w:sz="4" w:space="0"/>
              <w:bottom w:val="single" w:color="000000" w:sz="4" w:space="0"/>
              <w:right w:val="single" w:color="000000" w:sz="12" w:space="0"/>
            </w:tcBorders>
            <w:shd w:val="clear" w:color="auto" w:fill="auto"/>
            <w:vAlign w:val="top"/>
          </w:tcPr>
          <w:p>
            <w:pPr>
              <w:overflowPunct w:val="0"/>
              <w:snapToGrid w:val="0"/>
              <w:jc w:val="left"/>
              <w:textAlignment w:val="top"/>
              <w:rPr>
                <w:rFonts w:ascii="宋体" w:hAnsi="宋体" w:cs="宋体"/>
                <w:szCs w:val="21"/>
              </w:rPr>
            </w:pPr>
            <w:r>
              <w:rPr>
                <w:rFonts w:hint="eastAsia" w:ascii="宋体" w:hAnsi="宋体" w:cs="宋体"/>
                <w:kern w:val="0"/>
                <w:szCs w:val="21"/>
                <w:lang w:bidi="ar"/>
              </w:rPr>
              <w:t>如选是，原会费</w:t>
            </w:r>
            <w:r>
              <w:rPr>
                <w:rStyle w:val="13"/>
                <w:rFonts w:hint="default"/>
                <w:color w:val="auto"/>
                <w:lang w:bidi="ar"/>
              </w:rPr>
              <w:t>档，已调整为档；会费同一档次（□是，□否）细分为不同收费标准。</w:t>
            </w:r>
          </w:p>
        </w:tc>
      </w:tr>
      <w:tr>
        <w:tblPrEx>
          <w:tblLayout w:type="fixed"/>
          <w:tblCellMar>
            <w:top w:w="15" w:type="dxa"/>
            <w:left w:w="15" w:type="dxa"/>
            <w:bottom w:w="15" w:type="dxa"/>
            <w:right w:w="15" w:type="dxa"/>
          </w:tblCellMar>
        </w:tblPrEx>
        <w:trPr>
          <w:trHeight w:val="20" w:hRule="atLeast"/>
          <w:jc w:val="center"/>
        </w:trPr>
        <w:tc>
          <w:tcPr>
            <w:tcW w:w="4081" w:type="dxa"/>
            <w:gridSpan w:val="5"/>
            <w:tcBorders>
              <w:top w:val="single" w:color="000000" w:sz="4" w:space="0"/>
              <w:left w:val="single" w:color="000000" w:sz="12" w:space="0"/>
              <w:bottom w:val="single" w:color="000000" w:sz="4" w:space="0"/>
              <w:right w:val="single" w:color="000000" w:sz="4" w:space="0"/>
            </w:tcBorders>
            <w:shd w:val="clear" w:color="auto" w:fill="auto"/>
            <w:vAlign w:val="center"/>
          </w:tcPr>
          <w:p>
            <w:pPr>
              <w:overflowPunct w:val="0"/>
              <w:snapToGrid w:val="0"/>
              <w:jc w:val="center"/>
              <w:textAlignment w:val="center"/>
              <w:rPr>
                <w:rFonts w:ascii="宋体" w:hAnsi="宋体" w:cs="宋体"/>
                <w:szCs w:val="21"/>
              </w:rPr>
            </w:pPr>
            <w:r>
              <w:rPr>
                <w:rFonts w:hint="eastAsia" w:ascii="宋体" w:hAnsi="宋体" w:cs="宋体"/>
                <w:kern w:val="0"/>
                <w:szCs w:val="21"/>
                <w:lang w:bidi="ar"/>
              </w:rPr>
              <w:t>会费基本服务项目情况</w:t>
            </w:r>
          </w:p>
        </w:tc>
        <w:tc>
          <w:tcPr>
            <w:tcW w:w="6365" w:type="dxa"/>
            <w:gridSpan w:val="7"/>
            <w:tcBorders>
              <w:top w:val="single" w:color="000000" w:sz="4" w:space="0"/>
              <w:left w:val="single" w:color="000000" w:sz="4" w:space="0"/>
              <w:bottom w:val="single" w:color="000000" w:sz="4" w:space="0"/>
              <w:right w:val="single" w:color="000000" w:sz="12" w:space="0"/>
            </w:tcBorders>
            <w:shd w:val="clear" w:color="auto" w:fill="auto"/>
            <w:vAlign w:val="center"/>
          </w:tcPr>
          <w:p>
            <w:pPr>
              <w:overflowPunct w:val="0"/>
              <w:snapToGrid w:val="0"/>
              <w:jc w:val="left"/>
              <w:textAlignment w:val="center"/>
              <w:rPr>
                <w:rFonts w:ascii="宋体" w:hAnsi="宋体" w:cs="宋体"/>
                <w:sz w:val="24"/>
                <w:szCs w:val="24"/>
              </w:rPr>
            </w:pPr>
            <w:r>
              <w:rPr>
                <w:rFonts w:hint="eastAsia" w:ascii="宋体" w:hAnsi="宋体" w:cs="宋体"/>
                <w:kern w:val="0"/>
                <w:sz w:val="24"/>
                <w:szCs w:val="24"/>
                <w:lang w:bidi="ar"/>
              </w:rPr>
              <w:t>□有   □无</w:t>
            </w:r>
          </w:p>
        </w:tc>
      </w:tr>
      <w:tr>
        <w:tblPrEx>
          <w:tblLayout w:type="fixed"/>
          <w:tblCellMar>
            <w:top w:w="15" w:type="dxa"/>
            <w:left w:w="15" w:type="dxa"/>
            <w:bottom w:w="15" w:type="dxa"/>
            <w:right w:w="15" w:type="dxa"/>
          </w:tblCellMar>
        </w:tblPrEx>
        <w:trPr>
          <w:trHeight w:val="20" w:hRule="atLeast"/>
          <w:jc w:val="center"/>
        </w:trPr>
        <w:tc>
          <w:tcPr>
            <w:tcW w:w="4081" w:type="dxa"/>
            <w:gridSpan w:val="5"/>
            <w:tcBorders>
              <w:top w:val="single" w:color="000000" w:sz="4" w:space="0"/>
              <w:left w:val="single" w:color="000000" w:sz="12" w:space="0"/>
              <w:bottom w:val="single" w:color="000000" w:sz="4" w:space="0"/>
              <w:right w:val="single" w:color="000000" w:sz="4" w:space="0"/>
            </w:tcBorders>
            <w:shd w:val="clear" w:color="auto" w:fill="auto"/>
            <w:vAlign w:val="center"/>
          </w:tcPr>
          <w:p>
            <w:pPr>
              <w:overflowPunct w:val="0"/>
              <w:snapToGrid w:val="0"/>
              <w:textAlignment w:val="center"/>
              <w:rPr>
                <w:rFonts w:ascii="宋体" w:hAnsi="宋体" w:cs="宋体"/>
                <w:szCs w:val="21"/>
              </w:rPr>
            </w:pPr>
            <w:r>
              <w:rPr>
                <w:rFonts w:hint="eastAsia" w:ascii="宋体" w:hAnsi="宋体" w:cs="宋体"/>
                <w:kern w:val="0"/>
                <w:szCs w:val="21"/>
                <w:lang w:bidi="ar"/>
              </w:rPr>
              <w:t>会费标准在“信用中国”网站上公开情况</w:t>
            </w:r>
          </w:p>
        </w:tc>
        <w:tc>
          <w:tcPr>
            <w:tcW w:w="6365" w:type="dxa"/>
            <w:gridSpan w:val="7"/>
            <w:tcBorders>
              <w:top w:val="single" w:color="000000" w:sz="4" w:space="0"/>
              <w:left w:val="single" w:color="000000" w:sz="4" w:space="0"/>
              <w:bottom w:val="single" w:color="000000" w:sz="4" w:space="0"/>
              <w:right w:val="single" w:color="000000" w:sz="12" w:space="0"/>
            </w:tcBorders>
            <w:shd w:val="clear" w:color="auto" w:fill="auto"/>
            <w:vAlign w:val="center"/>
          </w:tcPr>
          <w:p>
            <w:pPr>
              <w:overflowPunct w:val="0"/>
              <w:snapToGrid w:val="0"/>
              <w:textAlignment w:val="center"/>
              <w:rPr>
                <w:rFonts w:ascii="宋体" w:hAnsi="宋体" w:cs="宋体"/>
                <w:szCs w:val="21"/>
              </w:rPr>
            </w:pPr>
            <w:r>
              <w:rPr>
                <w:rFonts w:hint="eastAsia" w:ascii="宋体" w:hAnsi="宋体" w:cs="宋体"/>
                <w:kern w:val="0"/>
                <w:szCs w:val="21"/>
                <w:lang w:bidi="ar"/>
              </w:rPr>
              <w:t>□是，公开时间：</w:t>
            </w:r>
            <w:r>
              <w:rPr>
                <w:rFonts w:hint="eastAsia" w:ascii="宋体" w:hAnsi="宋体" w:cs="宋体"/>
                <w:kern w:val="0"/>
                <w:szCs w:val="21"/>
                <w:lang w:val="en-US" w:eastAsia="zh-CN" w:bidi="ar"/>
              </w:rPr>
              <w:t xml:space="preserve">                              。</w:t>
            </w:r>
            <w:r>
              <w:rPr>
                <w:rStyle w:val="13"/>
                <w:rFonts w:hint="default"/>
                <w:color w:val="auto"/>
                <w:lang w:bidi="ar"/>
              </w:rPr>
              <w:t>□否</w:t>
            </w:r>
          </w:p>
        </w:tc>
      </w:tr>
      <w:tr>
        <w:tblPrEx>
          <w:tblLayout w:type="fixed"/>
          <w:tblCellMar>
            <w:top w:w="15" w:type="dxa"/>
            <w:left w:w="15" w:type="dxa"/>
            <w:bottom w:w="15" w:type="dxa"/>
            <w:right w:w="15" w:type="dxa"/>
          </w:tblCellMar>
        </w:tblPrEx>
        <w:trPr>
          <w:trHeight w:val="272" w:hRule="atLeast"/>
          <w:jc w:val="center"/>
        </w:trPr>
        <w:tc>
          <w:tcPr>
            <w:tcW w:w="4081" w:type="dxa"/>
            <w:gridSpan w:val="5"/>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overflowPunct w:val="0"/>
              <w:snapToGrid w:val="0"/>
              <w:textAlignment w:val="center"/>
              <w:rPr>
                <w:rFonts w:ascii="宋体" w:hAnsi="宋体" w:cs="宋体"/>
                <w:szCs w:val="21"/>
              </w:rPr>
            </w:pPr>
            <w:r>
              <w:rPr>
                <w:rFonts w:hint="eastAsia" w:ascii="宋体" w:hAnsi="宋体" w:cs="宋体"/>
                <w:kern w:val="0"/>
                <w:szCs w:val="21"/>
                <w:lang w:bidi="ar"/>
              </w:rPr>
              <w:t>会费标准向全体会员公开情况</w:t>
            </w:r>
          </w:p>
        </w:tc>
        <w:tc>
          <w:tcPr>
            <w:tcW w:w="6365" w:type="dxa"/>
            <w:gridSpan w:val="7"/>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overflowPunct w:val="0"/>
              <w:snapToGrid w:val="0"/>
              <w:textAlignment w:val="center"/>
              <w:rPr>
                <w:rFonts w:ascii="宋体" w:hAnsi="宋体" w:cs="宋体"/>
                <w:szCs w:val="21"/>
              </w:rPr>
            </w:pPr>
            <w:r>
              <w:rPr>
                <w:rFonts w:hint="eastAsia" w:ascii="宋体" w:hAnsi="宋体" w:cs="宋体"/>
                <w:kern w:val="0"/>
                <w:szCs w:val="21"/>
                <w:lang w:bidi="ar"/>
              </w:rPr>
              <w:t>□是，公开方式：</w:t>
            </w:r>
            <w:r>
              <w:rPr>
                <w:rStyle w:val="13"/>
                <w:rFonts w:hint="default"/>
                <w:color w:val="auto"/>
                <w:lang w:bidi="ar"/>
              </w:rPr>
              <w:t xml:space="preserve">       ；公开时间： </w:t>
            </w:r>
            <w:r>
              <w:rPr>
                <w:rStyle w:val="14"/>
                <w:rFonts w:hint="default"/>
                <w:color w:val="auto"/>
                <w:lang w:bidi="ar"/>
              </w:rPr>
              <w:t xml:space="preserve">        。</w:t>
            </w:r>
            <w:r>
              <w:rPr>
                <w:rStyle w:val="13"/>
                <w:rFonts w:hint="default"/>
                <w:color w:val="auto"/>
                <w:lang w:bidi="ar"/>
              </w:rPr>
              <w:t>□否</w:t>
            </w:r>
          </w:p>
        </w:tc>
      </w:tr>
      <w:tr>
        <w:tblPrEx>
          <w:tblLayout w:type="fixed"/>
          <w:tblCellMar>
            <w:top w:w="15" w:type="dxa"/>
            <w:left w:w="15" w:type="dxa"/>
            <w:bottom w:w="15" w:type="dxa"/>
            <w:right w:w="15" w:type="dxa"/>
          </w:tblCellMar>
        </w:tblPrEx>
        <w:trPr>
          <w:trHeight w:val="312" w:hRule="atLeast"/>
          <w:jc w:val="center"/>
        </w:trPr>
        <w:tc>
          <w:tcPr>
            <w:tcW w:w="4081" w:type="dxa"/>
            <w:gridSpan w:val="5"/>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overflowPunct w:val="0"/>
              <w:snapToGrid w:val="0"/>
              <w:rPr>
                <w:rFonts w:ascii="宋体" w:hAnsi="宋体" w:cs="宋体"/>
                <w:szCs w:val="21"/>
              </w:rPr>
            </w:pPr>
          </w:p>
        </w:tc>
        <w:tc>
          <w:tcPr>
            <w:tcW w:w="6365" w:type="dxa"/>
            <w:gridSpan w:val="7"/>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overflowPunct w:val="0"/>
              <w:snapToGrid w:val="0"/>
              <w:rPr>
                <w:rFonts w:ascii="宋体" w:hAnsi="宋体" w:cs="宋体"/>
                <w:szCs w:val="21"/>
              </w:rPr>
            </w:pPr>
          </w:p>
        </w:tc>
      </w:tr>
      <w:tr>
        <w:tblPrEx>
          <w:tblLayout w:type="fixed"/>
          <w:tblCellMar>
            <w:top w:w="15" w:type="dxa"/>
            <w:left w:w="15" w:type="dxa"/>
            <w:bottom w:w="15" w:type="dxa"/>
            <w:right w:w="15" w:type="dxa"/>
          </w:tblCellMar>
        </w:tblPrEx>
        <w:trPr>
          <w:trHeight w:val="272" w:hRule="atLeast"/>
          <w:jc w:val="center"/>
        </w:trPr>
        <w:tc>
          <w:tcPr>
            <w:tcW w:w="4081" w:type="dxa"/>
            <w:gridSpan w:val="5"/>
            <w:vMerge w:val="restart"/>
            <w:tcBorders>
              <w:top w:val="single" w:color="000000" w:sz="4" w:space="0"/>
              <w:left w:val="single" w:color="000000" w:sz="12" w:space="0"/>
              <w:bottom w:val="single" w:color="000000" w:sz="4" w:space="0"/>
              <w:right w:val="single" w:color="000000" w:sz="4" w:space="0"/>
            </w:tcBorders>
            <w:shd w:val="clear" w:color="auto" w:fill="auto"/>
            <w:vAlign w:val="center"/>
          </w:tcPr>
          <w:p>
            <w:pPr>
              <w:overflowPunct w:val="0"/>
              <w:snapToGrid w:val="0"/>
              <w:textAlignment w:val="center"/>
              <w:rPr>
                <w:rFonts w:hint="eastAsia" w:ascii="宋体" w:hAnsi="宋体" w:cs="宋体" w:eastAsiaTheme="minorEastAsia"/>
                <w:kern w:val="0"/>
                <w:sz w:val="21"/>
                <w:szCs w:val="21"/>
                <w:lang w:val="en-US" w:eastAsia="zh-CN" w:bidi="ar"/>
              </w:rPr>
            </w:pPr>
            <w:r>
              <w:rPr>
                <w:rFonts w:hint="eastAsia" w:ascii="宋体" w:hAnsi="宋体" w:cs="宋体"/>
                <w:kern w:val="0"/>
                <w:szCs w:val="21"/>
                <w:lang w:bidi="ar"/>
              </w:rPr>
              <w:t>会费专帐管理情况</w:t>
            </w:r>
          </w:p>
        </w:tc>
        <w:tc>
          <w:tcPr>
            <w:tcW w:w="6365" w:type="dxa"/>
            <w:gridSpan w:val="7"/>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overflowPunct w:val="0"/>
              <w:snapToGrid w:val="0"/>
              <w:textAlignment w:val="center"/>
              <w:rPr>
                <w:rFonts w:ascii="宋体" w:hAnsi="宋体" w:cs="宋体"/>
                <w:szCs w:val="21"/>
              </w:rPr>
            </w:pPr>
            <w:r>
              <w:rPr>
                <w:rFonts w:hint="eastAsia" w:ascii="宋体" w:hAnsi="宋体" w:cs="宋体"/>
                <w:kern w:val="0"/>
                <w:szCs w:val="21"/>
                <w:lang w:bidi="ar"/>
              </w:rPr>
              <w:t>□有     □无</w:t>
            </w:r>
          </w:p>
        </w:tc>
      </w:tr>
      <w:tr>
        <w:tblPrEx>
          <w:tblLayout w:type="fixed"/>
          <w:tblCellMar>
            <w:top w:w="15" w:type="dxa"/>
            <w:left w:w="15" w:type="dxa"/>
            <w:bottom w:w="15" w:type="dxa"/>
            <w:right w:w="15" w:type="dxa"/>
          </w:tblCellMar>
        </w:tblPrEx>
        <w:trPr>
          <w:trHeight w:val="312" w:hRule="atLeast"/>
          <w:jc w:val="center"/>
        </w:trPr>
        <w:tc>
          <w:tcPr>
            <w:tcW w:w="4081" w:type="dxa"/>
            <w:gridSpan w:val="5"/>
            <w:vMerge w:val="continue"/>
            <w:tcBorders>
              <w:top w:val="single" w:color="000000" w:sz="4" w:space="0"/>
              <w:left w:val="single" w:color="000000" w:sz="12" w:space="0"/>
              <w:bottom w:val="single" w:color="000000" w:sz="4" w:space="0"/>
              <w:right w:val="single" w:color="000000" w:sz="4" w:space="0"/>
            </w:tcBorders>
            <w:shd w:val="clear" w:color="auto" w:fill="auto"/>
            <w:vAlign w:val="center"/>
          </w:tcPr>
          <w:p>
            <w:pPr>
              <w:overflowPunct w:val="0"/>
              <w:snapToGrid w:val="0"/>
              <w:rPr>
                <w:rFonts w:ascii="宋体" w:hAnsi="宋体" w:cs="宋体"/>
                <w:szCs w:val="21"/>
              </w:rPr>
            </w:pPr>
          </w:p>
        </w:tc>
        <w:tc>
          <w:tcPr>
            <w:tcW w:w="6365" w:type="dxa"/>
            <w:gridSpan w:val="7"/>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overflowPunct w:val="0"/>
              <w:snapToGrid w:val="0"/>
              <w:rPr>
                <w:rFonts w:ascii="宋体" w:hAnsi="宋体" w:cs="宋体"/>
                <w:szCs w:val="21"/>
              </w:rPr>
            </w:pPr>
          </w:p>
        </w:tc>
      </w:tr>
      <w:tr>
        <w:tblPrEx>
          <w:tblLayout w:type="fixed"/>
          <w:tblCellMar>
            <w:top w:w="15" w:type="dxa"/>
            <w:left w:w="15" w:type="dxa"/>
            <w:bottom w:w="15" w:type="dxa"/>
            <w:right w:w="15" w:type="dxa"/>
          </w:tblCellMar>
        </w:tblPrEx>
        <w:trPr>
          <w:trHeight w:val="20" w:hRule="atLeast"/>
          <w:jc w:val="center"/>
        </w:trPr>
        <w:tc>
          <w:tcPr>
            <w:tcW w:w="10446" w:type="dxa"/>
            <w:gridSpan w:val="12"/>
            <w:tcBorders>
              <w:top w:val="single" w:color="000000" w:sz="4" w:space="0"/>
              <w:left w:val="single" w:color="000000" w:sz="12" w:space="0"/>
              <w:bottom w:val="single" w:color="000000" w:sz="4" w:space="0"/>
              <w:right w:val="single" w:color="000000" w:sz="12" w:space="0"/>
            </w:tcBorders>
            <w:shd w:val="clear" w:color="auto" w:fill="auto"/>
            <w:vAlign w:val="center"/>
          </w:tcPr>
          <w:p>
            <w:pPr>
              <w:overflowPunct w:val="0"/>
              <w:snapToGrid w:val="0"/>
              <w:rPr>
                <w:rFonts w:ascii="宋体" w:hAnsi="宋体" w:cs="宋体"/>
                <w:szCs w:val="21"/>
              </w:rPr>
            </w:pPr>
            <w:r>
              <w:rPr>
                <w:rFonts w:hint="eastAsia" w:ascii="宋体" w:hAnsi="宋体" w:cs="宋体"/>
                <w:kern w:val="0"/>
                <w:szCs w:val="21"/>
                <w:lang w:bidi="ar"/>
              </w:rPr>
              <w:t>通过调整会费标准，预计2018年可减轻企业负担</w:t>
            </w:r>
            <w:r>
              <w:rPr>
                <w:rStyle w:val="13"/>
                <w:rFonts w:hint="default"/>
                <w:color w:val="auto"/>
                <w:lang w:bidi="ar"/>
              </w:rPr>
              <w:t xml:space="preserve">万元、增加万元。  </w:t>
            </w:r>
            <w:r>
              <w:rPr>
                <w:rFonts w:hint="eastAsia" w:ascii="宋体" w:hAnsi="宋体" w:cs="宋体"/>
                <w:kern w:val="0"/>
                <w:szCs w:val="21"/>
                <w:lang w:bidi="ar"/>
              </w:rPr>
              <w:t>□</w:t>
            </w:r>
            <w:r>
              <w:rPr>
                <w:rStyle w:val="13"/>
                <w:rFonts w:hint="default"/>
                <w:color w:val="auto"/>
                <w:lang w:bidi="ar"/>
              </w:rPr>
              <w:t>无变化</w:t>
            </w:r>
            <w:r>
              <w:rPr>
                <w:rFonts w:hint="eastAsia" w:ascii="宋体" w:hAnsi="宋体" w:cs="宋体"/>
                <w:kern w:val="0"/>
                <w:szCs w:val="21"/>
                <w:lang w:bidi="ar"/>
              </w:rPr>
              <w:t>。</w:t>
            </w:r>
          </w:p>
        </w:tc>
      </w:tr>
      <w:tr>
        <w:tblPrEx>
          <w:tblLayout w:type="fixed"/>
          <w:tblCellMar>
            <w:top w:w="15" w:type="dxa"/>
            <w:left w:w="15" w:type="dxa"/>
            <w:bottom w:w="15" w:type="dxa"/>
            <w:right w:w="15" w:type="dxa"/>
          </w:tblCellMar>
        </w:tblPrEx>
        <w:trPr>
          <w:trHeight w:val="20" w:hRule="atLeast"/>
          <w:jc w:val="center"/>
        </w:trPr>
        <w:tc>
          <w:tcPr>
            <w:tcW w:w="10446" w:type="dxa"/>
            <w:gridSpan w:val="12"/>
            <w:tcBorders>
              <w:top w:val="single" w:color="000000" w:sz="4" w:space="0"/>
              <w:left w:val="single" w:color="000000" w:sz="12" w:space="0"/>
              <w:bottom w:val="single" w:color="000000" w:sz="4" w:space="0"/>
              <w:right w:val="single" w:color="000000" w:sz="12" w:space="0"/>
            </w:tcBorders>
            <w:shd w:val="clear" w:color="auto" w:fill="auto"/>
            <w:vAlign w:val="top"/>
          </w:tcPr>
          <w:p>
            <w:pPr>
              <w:overflowPunct w:val="0"/>
              <w:snapToGrid w:val="0"/>
              <w:textAlignment w:val="top"/>
              <w:rPr>
                <w:rFonts w:ascii="宋体" w:hAnsi="宋体" w:cs="宋体"/>
                <w:kern w:val="0"/>
                <w:szCs w:val="21"/>
                <w:lang w:bidi="ar"/>
              </w:rPr>
            </w:pPr>
            <w:r>
              <w:rPr>
                <w:rFonts w:hint="eastAsia" w:ascii="宋体" w:hAnsi="宋体" w:cs="宋体"/>
                <w:kern w:val="0"/>
                <w:szCs w:val="21"/>
                <w:lang w:bidi="ar"/>
              </w:rPr>
              <w:t>调整后的会费标准：</w:t>
            </w:r>
          </w:p>
        </w:tc>
      </w:tr>
      <w:tr>
        <w:tblPrEx>
          <w:tblLayout w:type="fixed"/>
          <w:tblCellMar>
            <w:top w:w="15" w:type="dxa"/>
            <w:left w:w="15" w:type="dxa"/>
            <w:bottom w:w="15" w:type="dxa"/>
            <w:right w:w="15" w:type="dxa"/>
          </w:tblCellMar>
        </w:tblPrEx>
        <w:trPr>
          <w:trHeight w:val="20" w:hRule="atLeast"/>
          <w:jc w:val="center"/>
        </w:trPr>
        <w:tc>
          <w:tcPr>
            <w:tcW w:w="10446" w:type="dxa"/>
            <w:gridSpan w:val="12"/>
            <w:tcBorders>
              <w:top w:val="single" w:color="000000" w:sz="4" w:space="0"/>
              <w:left w:val="single" w:color="000000" w:sz="12" w:space="0"/>
              <w:bottom w:val="single" w:color="000000" w:sz="4" w:space="0"/>
              <w:right w:val="single" w:color="000000" w:sz="12" w:space="0"/>
            </w:tcBorders>
            <w:shd w:val="clear" w:color="auto" w:fill="auto"/>
            <w:vAlign w:val="top"/>
          </w:tcPr>
          <w:p>
            <w:pPr>
              <w:tabs>
                <w:tab w:val="center" w:pos="4903"/>
              </w:tabs>
              <w:overflowPunct w:val="0"/>
              <w:snapToGrid w:val="0"/>
              <w:textAlignment w:val="top"/>
              <w:rPr>
                <w:rFonts w:hint="eastAsia" w:ascii="宋体" w:hAnsi="宋体" w:cs="宋体" w:eastAsiaTheme="minorEastAsia"/>
                <w:kern w:val="0"/>
                <w:sz w:val="21"/>
                <w:szCs w:val="21"/>
                <w:lang w:val="en-US" w:eastAsia="zh-CN" w:bidi="ar"/>
              </w:rPr>
            </w:pPr>
            <w:r>
              <w:rPr>
                <w:rFonts w:hint="eastAsia" w:ascii="宋体" w:hAnsi="宋体" w:cs="宋体"/>
                <w:kern w:val="0"/>
                <w:szCs w:val="21"/>
                <w:lang w:bidi="ar"/>
              </w:rPr>
              <w:t>会费提供的基本服务项目：</w:t>
            </w:r>
            <w:r>
              <w:rPr>
                <w:rFonts w:hint="eastAsia" w:ascii="宋体" w:hAnsi="宋体" w:cs="宋体"/>
                <w:kern w:val="0"/>
                <w:szCs w:val="21"/>
                <w:lang w:bidi="ar"/>
              </w:rPr>
              <w:tab/>
            </w:r>
          </w:p>
        </w:tc>
      </w:tr>
    </w:tbl>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7FA"/>
    <w:multiLevelType w:val="multilevel"/>
    <w:tmpl w:val="111637FA"/>
    <w:lvl w:ilvl="0" w:tentative="0">
      <w:start w:val="1"/>
      <w:numFmt w:val="japaneseCounting"/>
      <w:lvlText w:val="%1、"/>
      <w:lvlJc w:val="left"/>
      <w:pPr>
        <w:ind w:left="7242"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79F24DF"/>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List Paragraph"/>
    <w:basedOn w:val="1"/>
    <w:qFormat/>
    <w:uiPriority w:val="34"/>
    <w:pPr>
      <w:ind w:firstLine="420" w:firstLineChars="200"/>
    </w:pPr>
  </w:style>
  <w:style w:type="character" w:customStyle="1" w:styleId="12">
    <w:name w:val="font11"/>
    <w:basedOn w:val="7"/>
    <w:qFormat/>
    <w:uiPriority w:val="0"/>
    <w:rPr>
      <w:rFonts w:ascii="仿宋_GB2312" w:eastAsia="仿宋_GB2312" w:cs="仿宋_GB2312"/>
      <w:color w:val="000000"/>
      <w:sz w:val="21"/>
      <w:szCs w:val="21"/>
      <w:u w:val="none"/>
    </w:rPr>
  </w:style>
  <w:style w:type="character" w:customStyle="1" w:styleId="13">
    <w:name w:val="font21"/>
    <w:basedOn w:val="7"/>
    <w:qFormat/>
    <w:uiPriority w:val="0"/>
    <w:rPr>
      <w:rFonts w:hint="eastAsia" w:ascii="宋体" w:hAnsi="宋体" w:eastAsia="宋体" w:cs="宋体"/>
      <w:color w:val="000000"/>
      <w:sz w:val="21"/>
      <w:szCs w:val="21"/>
      <w:u w:val="none"/>
    </w:rPr>
  </w:style>
  <w:style w:type="character" w:customStyle="1" w:styleId="14">
    <w:name w:val="font01"/>
    <w:basedOn w:val="7"/>
    <w:qFormat/>
    <w:uiPriority w:val="0"/>
    <w:rPr>
      <w:rFonts w:hint="eastAsia" w:ascii="宋体" w:hAnsi="宋体" w:eastAsia="宋体" w:cs="宋体"/>
      <w:color w:val="000000"/>
      <w:sz w:val="21"/>
      <w:szCs w:val="21"/>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2022-06-12T00:39:17Z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