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p>
      <w:pPr>
        <w:spacing w:line="590" w:lineRule="exact"/>
        <w:jc w:val="center"/>
        <w:rPr>
          <w:rFonts w:hint="eastAsia" w:eastAsia="方正小标宋_GBK"/>
          <w:sz w:val="44"/>
          <w:szCs w:val="44"/>
        </w:rPr>
      </w:pPr>
      <w:r>
        <w:rPr>
          <w:rFonts w:hint="eastAsia" w:eastAsia="方正小标宋_GBK"/>
          <w:sz w:val="44"/>
          <w:szCs w:val="44"/>
        </w:rPr>
        <w:t>重庆市养老机构管理办法</w:t>
      </w:r>
    </w:p>
    <w:p>
      <w:pPr>
        <w:ind w:firstLine="640" w:firstLineChars="200"/>
        <w:rPr>
          <w:rFonts w:hint="default" w:ascii="Times New Roman" w:hAnsi="Times New Roman" w:eastAsia="方正楷体_GBK" w:cs="Times New Roman"/>
          <w:lang w:eastAsia="zh-CN"/>
        </w:rPr>
      </w:pPr>
      <w:r>
        <w:rPr>
          <w:rFonts w:hint="default" w:ascii="Times New Roman" w:hAnsi="Times New Roman" w:eastAsia="方正楷体_GBK" w:cs="Times New Roman"/>
          <w:lang w:eastAsia="zh-CN"/>
        </w:rPr>
        <w:t>（</w:t>
      </w:r>
      <w:r>
        <w:rPr>
          <w:rFonts w:hint="default" w:ascii="Times New Roman" w:hAnsi="Times New Roman" w:eastAsia="方正楷体_GBK" w:cs="Times New Roman"/>
        </w:rPr>
        <w:t>2019年2月3日</w:t>
      </w:r>
      <w:r>
        <w:rPr>
          <w:rFonts w:hint="default" w:ascii="Times New Roman" w:hAnsi="Times New Roman" w:eastAsia="方正楷体_GBK" w:cs="Times New Roman"/>
          <w:lang w:eastAsia="zh-CN"/>
        </w:rPr>
        <w:t>重庆市人民政府令第</w:t>
      </w:r>
      <w:r>
        <w:rPr>
          <w:rFonts w:hint="default" w:ascii="Times New Roman" w:hAnsi="Times New Roman" w:eastAsia="方正楷体_GBK" w:cs="Times New Roman"/>
          <w:lang w:val="en-US" w:eastAsia="zh-CN"/>
        </w:rPr>
        <w:t xml:space="preserve">326号公布  </w:t>
      </w:r>
      <w:r>
        <w:rPr>
          <w:rFonts w:hint="default" w:ascii="Times New Roman" w:hAnsi="Times New Roman" w:eastAsia="方正楷体_GBK" w:cs="Times New Roman"/>
        </w:rPr>
        <w:t>自2019年4月1日起施行</w:t>
      </w:r>
      <w:r>
        <w:rPr>
          <w:rFonts w:hint="default" w:ascii="Times New Roman" w:hAnsi="Times New Roman" w:eastAsia="方正楷体_GBK" w:cs="Times New Roman"/>
          <w:lang w:eastAsia="zh-CN"/>
        </w:rPr>
        <w:t>）</w:t>
      </w:r>
    </w:p>
    <w:p>
      <w:pPr>
        <w:jc w:val="center"/>
        <w:rPr>
          <w:rFonts w:hint="eastAsia" w:eastAsia="方正黑体_GBK"/>
        </w:rPr>
      </w:pPr>
    </w:p>
    <w:p>
      <w:pPr>
        <w:jc w:val="center"/>
        <w:rPr>
          <w:rFonts w:hint="eastAsia" w:eastAsia="方正黑体_GBK"/>
        </w:rPr>
      </w:pPr>
      <w:r>
        <w:rPr>
          <w:rFonts w:hint="eastAsia" w:eastAsia="方正黑体_GBK"/>
        </w:rPr>
        <w:t>第一章  总    则</w:t>
      </w:r>
    </w:p>
    <w:p>
      <w:pPr>
        <w:ind w:firstLine="640" w:firstLineChars="200"/>
      </w:pPr>
    </w:p>
    <w:p>
      <w:pPr>
        <w:ind w:firstLine="640" w:firstLineChars="200"/>
        <w:rPr>
          <w:rFonts w:hint="eastAsia"/>
        </w:rPr>
      </w:pPr>
      <w:r>
        <w:rPr>
          <w:rFonts w:hint="eastAsia" w:eastAsia="方正黑体_GBK"/>
        </w:rPr>
        <w:t>第一条</w:t>
      </w:r>
      <w:r>
        <w:rPr>
          <w:rFonts w:hint="eastAsia"/>
        </w:rPr>
        <w:t xml:space="preserve">  为了保障老年人合法权益，促进养老机构发展，规范养老机构管理，根据《中华人民共和国老年人权益保障法》《重庆市老年人权益保障条例》和有关法律法规，结合本市实际，制定本办法。</w:t>
      </w:r>
    </w:p>
    <w:p>
      <w:pPr>
        <w:ind w:firstLine="640" w:firstLineChars="200"/>
        <w:rPr>
          <w:rFonts w:hint="eastAsia"/>
        </w:rPr>
      </w:pPr>
      <w:r>
        <w:rPr>
          <w:rFonts w:hint="eastAsia" w:eastAsia="方正黑体_GBK"/>
        </w:rPr>
        <w:t>第二条</w:t>
      </w:r>
      <w:r>
        <w:rPr>
          <w:rFonts w:hint="eastAsia"/>
        </w:rPr>
        <w:t xml:space="preserve">  本市行政区域内养老机构的规划建设、机构设立、扶持发展、服务运营及其监督管理，适用本办法。</w:t>
      </w:r>
    </w:p>
    <w:p>
      <w:pPr>
        <w:ind w:firstLine="640" w:firstLineChars="200"/>
        <w:rPr>
          <w:rFonts w:hint="eastAsia"/>
        </w:rPr>
      </w:pPr>
      <w:r>
        <w:rPr>
          <w:rFonts w:hint="eastAsia" w:eastAsia="方正黑体_GBK"/>
        </w:rPr>
        <w:t>第三条</w:t>
      </w:r>
      <w:r>
        <w:rPr>
          <w:rFonts w:hint="eastAsia"/>
        </w:rPr>
        <w:t xml:space="preserve">  本办法所称养老机构是指依法设立并为老年人提供集中居住和照料服务的机构。</w:t>
      </w:r>
    </w:p>
    <w:p>
      <w:pPr>
        <w:ind w:firstLine="640" w:firstLineChars="200"/>
        <w:rPr>
          <w:rFonts w:hint="eastAsia"/>
        </w:rPr>
      </w:pPr>
      <w:r>
        <w:rPr>
          <w:rFonts w:hint="eastAsia" w:eastAsia="方正黑体_GBK"/>
        </w:rPr>
        <w:t>第四条</w:t>
      </w:r>
      <w:r>
        <w:rPr>
          <w:rFonts w:hint="eastAsia"/>
        </w:rPr>
        <w:t xml:space="preserve">  养老机构的发展坚持政府引导、社会参与、市场运作、保障基本、统筹兼顾的原则。</w:t>
      </w:r>
    </w:p>
    <w:p>
      <w:pPr>
        <w:ind w:firstLine="640" w:firstLineChars="200"/>
        <w:rPr>
          <w:rFonts w:hint="eastAsia"/>
        </w:rPr>
      </w:pPr>
      <w:r>
        <w:rPr>
          <w:rFonts w:hint="eastAsia" w:eastAsia="方正黑体_GBK"/>
        </w:rPr>
        <w:t>第五条</w:t>
      </w:r>
      <w:r>
        <w:rPr>
          <w:rFonts w:hint="eastAsia"/>
        </w:rPr>
        <w:t xml:space="preserve">  市、区县（自治县）人民政府应当将养老机构发展纳入同级国民经济和社会发展规划，研究制定扶持发展政策，保障经费投入，促进养老机构与经济社会协调发展。</w:t>
      </w:r>
    </w:p>
    <w:p>
      <w:pPr>
        <w:ind w:firstLine="640" w:firstLineChars="200"/>
        <w:rPr>
          <w:rFonts w:hint="eastAsia"/>
        </w:rPr>
      </w:pPr>
      <w:r>
        <w:rPr>
          <w:rFonts w:hint="eastAsia"/>
        </w:rPr>
        <w:t>乡镇人民政府、街道办事处应当按照本办法规定，做好养老机构服务和发展相关工作。</w:t>
      </w:r>
    </w:p>
    <w:p>
      <w:pPr>
        <w:ind w:firstLine="640" w:firstLineChars="200"/>
        <w:rPr>
          <w:rFonts w:hint="eastAsia"/>
        </w:rPr>
      </w:pPr>
      <w:r>
        <w:rPr>
          <w:rFonts w:hint="eastAsia" w:eastAsia="方正黑体_GBK"/>
        </w:rPr>
        <w:t>第六条</w:t>
      </w:r>
      <w:r>
        <w:rPr>
          <w:rFonts w:hint="eastAsia"/>
        </w:rPr>
        <w:t xml:space="preserve">  市、区县（自治县）民政部门负责本行政区域内养老机构的指导、监督和管理。</w:t>
      </w:r>
    </w:p>
    <w:p>
      <w:pPr>
        <w:ind w:firstLine="640" w:firstLineChars="200"/>
        <w:rPr>
          <w:rFonts w:hint="eastAsia"/>
        </w:rPr>
      </w:pPr>
      <w:r>
        <w:rPr>
          <w:rFonts w:hint="eastAsia"/>
        </w:rPr>
        <w:t>发展改革、财政、教育、住房城乡建设、医保、规划自然资源、市场监管、税务、应急、卫生健康等部门按照各自职责，共同做好养老机构的发展和监督管理工作。</w:t>
      </w:r>
    </w:p>
    <w:p>
      <w:pPr>
        <w:ind w:firstLine="640" w:firstLineChars="200"/>
        <w:rPr>
          <w:rFonts w:hint="eastAsia"/>
        </w:rPr>
      </w:pPr>
      <w:r>
        <w:rPr>
          <w:rFonts w:hint="eastAsia" w:eastAsia="方正黑体_GBK"/>
        </w:rPr>
        <w:t>第七条</w:t>
      </w:r>
      <w:r>
        <w:rPr>
          <w:rFonts w:hint="eastAsia"/>
        </w:rPr>
        <w:t xml:space="preserve">  鼓励养老机构加入养老服务行业协会。</w:t>
      </w:r>
    </w:p>
    <w:p>
      <w:pPr>
        <w:ind w:firstLine="640" w:firstLineChars="200"/>
        <w:rPr>
          <w:rFonts w:hint="eastAsia"/>
        </w:rPr>
      </w:pPr>
      <w:r>
        <w:rPr>
          <w:rFonts w:hint="eastAsia"/>
        </w:rPr>
        <w:t>养老服务行业协会应当加强行业自律和诚信建设，参与标准制定和等级评定，开展调查研究、业务培训、调解争议等活动，引导和规范养老机构发展。</w:t>
      </w:r>
    </w:p>
    <w:p>
      <w:pPr>
        <w:ind w:firstLine="640" w:firstLineChars="200"/>
        <w:rPr>
          <w:rFonts w:hint="eastAsia"/>
        </w:rPr>
      </w:pPr>
      <w:r>
        <w:rPr>
          <w:rFonts w:hint="eastAsia" w:eastAsia="方正黑体_GBK"/>
        </w:rPr>
        <w:t>第八条</w:t>
      </w:r>
      <w:r>
        <w:rPr>
          <w:rFonts w:hint="eastAsia"/>
        </w:rPr>
        <w:t xml:space="preserve">  养老机构应当依法保障老年人的合法权益，不得歧视、侮辱、诽谤或者虐待、遗弃老年人。</w:t>
      </w:r>
    </w:p>
    <w:p>
      <w:pPr>
        <w:ind w:firstLine="640" w:firstLineChars="200"/>
        <w:rPr>
          <w:rFonts w:hint="eastAsia"/>
        </w:rPr>
      </w:pPr>
      <w:r>
        <w:rPr>
          <w:rFonts w:hint="eastAsia"/>
        </w:rPr>
        <w:t>老年人应当依法遵守养老机构的规章制度。</w:t>
      </w:r>
    </w:p>
    <w:p>
      <w:pPr>
        <w:ind w:firstLine="640" w:firstLineChars="200"/>
        <w:rPr>
          <w:rFonts w:hint="eastAsia"/>
        </w:rPr>
      </w:pPr>
      <w:r>
        <w:rPr>
          <w:rFonts w:hint="eastAsia"/>
        </w:rPr>
        <w:t>老年人的监护人、代理人应当依法履行养老服务合同。</w:t>
      </w:r>
    </w:p>
    <w:p>
      <w:pPr>
        <w:ind w:firstLine="640" w:firstLineChars="200"/>
        <w:rPr>
          <w:rFonts w:hint="eastAsia"/>
        </w:rPr>
      </w:pPr>
      <w:r>
        <w:rPr>
          <w:rFonts w:hint="eastAsia" w:eastAsia="方正黑体_GBK"/>
        </w:rPr>
        <w:t>第九条</w:t>
      </w:r>
      <w:r>
        <w:rPr>
          <w:rFonts w:hint="eastAsia"/>
        </w:rPr>
        <w:t xml:space="preserve">  政府投资兴办的养老机构，应当建立健全公开、公平、公正的收住制度，向社会公开床位资源信息，并优先保障经济困难的孤寡、失能、高龄、失独等老年人的养老服务需求。</w:t>
      </w:r>
    </w:p>
    <w:p>
      <w:pPr>
        <w:ind w:firstLine="640" w:firstLineChars="200"/>
        <w:rPr>
          <w:rFonts w:hint="eastAsia"/>
        </w:rPr>
      </w:pPr>
      <w:r>
        <w:rPr>
          <w:rFonts w:hint="eastAsia"/>
        </w:rPr>
        <w:t>政府投资兴办的养老机构，可以采取公建民营、委托管理、购买服务等方式，依法选定专业化的机构负责运营。</w:t>
      </w:r>
    </w:p>
    <w:p>
      <w:pPr>
        <w:ind w:firstLine="640" w:firstLineChars="200"/>
        <w:rPr>
          <w:rFonts w:hint="eastAsia"/>
        </w:rPr>
      </w:pPr>
      <w:r>
        <w:rPr>
          <w:rFonts w:hint="eastAsia" w:eastAsia="方正黑体_GBK"/>
        </w:rPr>
        <w:t>第十条</w:t>
      </w:r>
      <w:r>
        <w:rPr>
          <w:rFonts w:hint="eastAsia"/>
        </w:rPr>
        <w:t xml:space="preserve">  鼓励和支持社会力量举办和运营养老机构。</w:t>
      </w:r>
    </w:p>
    <w:p>
      <w:pPr>
        <w:ind w:firstLine="640" w:firstLineChars="200"/>
        <w:rPr>
          <w:rFonts w:hint="eastAsia"/>
        </w:rPr>
      </w:pPr>
      <w:r>
        <w:rPr>
          <w:rFonts w:hint="eastAsia"/>
        </w:rPr>
        <w:t>鼓励公民、法人或者其他组织为养老机构提供捐赠和志愿服务。</w:t>
      </w:r>
    </w:p>
    <w:p>
      <w:pPr>
        <w:ind w:firstLine="640" w:firstLineChars="200"/>
        <w:rPr>
          <w:rFonts w:hint="eastAsia"/>
        </w:rPr>
      </w:pPr>
      <w:r>
        <w:rPr>
          <w:rFonts w:hint="eastAsia" w:eastAsia="方正黑体_GBK"/>
        </w:rPr>
        <w:t>第十一条</w:t>
      </w:r>
      <w:r>
        <w:rPr>
          <w:rFonts w:hint="eastAsia"/>
        </w:rPr>
        <w:t xml:space="preserve">  市、区县（自治县）人民政府应当加强护理型养老床位建设，促进医养结合型养老机构发展。</w:t>
      </w:r>
    </w:p>
    <w:p>
      <w:pPr>
        <w:ind w:firstLine="640" w:firstLineChars="200"/>
      </w:pPr>
    </w:p>
    <w:p>
      <w:pPr>
        <w:jc w:val="center"/>
        <w:rPr>
          <w:rFonts w:hint="eastAsia" w:eastAsia="方正黑体_GBK"/>
        </w:rPr>
      </w:pPr>
      <w:r>
        <w:rPr>
          <w:rFonts w:hint="eastAsia" w:eastAsia="方正黑体_GBK"/>
        </w:rPr>
        <w:t>第二章  规划建设</w:t>
      </w:r>
    </w:p>
    <w:p>
      <w:pPr>
        <w:ind w:firstLine="640" w:firstLineChars="200"/>
      </w:pPr>
    </w:p>
    <w:p>
      <w:pPr>
        <w:ind w:firstLine="640" w:firstLineChars="200"/>
        <w:rPr>
          <w:rFonts w:hint="eastAsia"/>
        </w:rPr>
      </w:pPr>
      <w:r>
        <w:rPr>
          <w:rFonts w:hint="eastAsia" w:eastAsia="方正黑体_GBK"/>
        </w:rPr>
        <w:t>第十二条</w:t>
      </w:r>
      <w:r>
        <w:rPr>
          <w:rFonts w:hint="eastAsia"/>
        </w:rPr>
        <w:t xml:space="preserve">  市民政部门会同市规划自然资源等部门根据本市人口、公共服务资源、养老服务需求状况等因素，依法组织编制主城区养老服务设施布局专业规划，合理集中布局养老机构，经市人民政府批准后纳入主城区城市总体规划、控制性详细规划。</w:t>
      </w:r>
    </w:p>
    <w:p>
      <w:pPr>
        <w:ind w:firstLine="640" w:firstLineChars="200"/>
        <w:rPr>
          <w:rFonts w:hint="eastAsia"/>
        </w:rPr>
      </w:pPr>
      <w:r>
        <w:rPr>
          <w:rFonts w:hint="eastAsia"/>
        </w:rPr>
        <w:t>其他区县（自治县）民政部门会同相关部门编制本地区养老服务设施专业规划，合理集中布局养老机构。</w:t>
      </w:r>
    </w:p>
    <w:p>
      <w:pPr>
        <w:ind w:firstLine="640" w:firstLineChars="200"/>
        <w:rPr>
          <w:rFonts w:hint="eastAsia"/>
        </w:rPr>
      </w:pPr>
      <w:r>
        <w:rPr>
          <w:rFonts w:hint="eastAsia" w:eastAsia="方正黑体_GBK"/>
        </w:rPr>
        <w:t>第十三条</w:t>
      </w:r>
      <w:r>
        <w:rPr>
          <w:rFonts w:hint="eastAsia"/>
        </w:rPr>
        <w:t xml:space="preserve">  市、区县（自治县）人民政府应当将养老机构建设用地纳入土地利用总体规划和年度计划，合理安排用地需求。</w:t>
      </w:r>
    </w:p>
    <w:p>
      <w:pPr>
        <w:ind w:firstLine="640" w:firstLineChars="200"/>
        <w:rPr>
          <w:rFonts w:hint="eastAsia"/>
        </w:rPr>
      </w:pPr>
      <w:r>
        <w:rPr>
          <w:rFonts w:hint="eastAsia"/>
        </w:rPr>
        <w:t>非营利性养老机构用地，可以依法使用国有划拨土地或者农村集体建设用地。</w:t>
      </w:r>
    </w:p>
    <w:p>
      <w:pPr>
        <w:ind w:firstLine="640" w:firstLineChars="200"/>
        <w:rPr>
          <w:rFonts w:hint="eastAsia"/>
        </w:rPr>
      </w:pPr>
      <w:r>
        <w:rPr>
          <w:rFonts w:hint="eastAsia"/>
        </w:rPr>
        <w:t>营利性养老机构用地，在原土地用途符合规划的前提下，可以依法办理有偿用地手续。</w:t>
      </w:r>
    </w:p>
    <w:p>
      <w:pPr>
        <w:ind w:firstLine="640" w:firstLineChars="200"/>
        <w:rPr>
          <w:rFonts w:hint="eastAsia"/>
        </w:rPr>
      </w:pPr>
      <w:r>
        <w:rPr>
          <w:rFonts w:hint="eastAsia"/>
        </w:rPr>
        <w:t>鼓励将闲置的其他设施建设用地依法调整为养老机构用地。</w:t>
      </w:r>
    </w:p>
    <w:p>
      <w:pPr>
        <w:ind w:firstLine="640" w:firstLineChars="200"/>
        <w:rPr>
          <w:rFonts w:hint="eastAsia"/>
        </w:rPr>
      </w:pPr>
      <w:r>
        <w:rPr>
          <w:rFonts w:hint="eastAsia"/>
        </w:rPr>
        <w:t>养老机构建设用地用途，非经法定程序不得改变。</w:t>
      </w:r>
    </w:p>
    <w:p>
      <w:pPr>
        <w:ind w:firstLine="640" w:firstLineChars="200"/>
        <w:rPr>
          <w:rFonts w:hint="eastAsia"/>
        </w:rPr>
      </w:pPr>
      <w:r>
        <w:rPr>
          <w:rFonts w:hint="eastAsia" w:eastAsia="方正黑体_GBK"/>
        </w:rPr>
        <w:t>第十四条</w:t>
      </w:r>
      <w:r>
        <w:rPr>
          <w:rFonts w:hint="eastAsia"/>
        </w:rPr>
        <w:t xml:space="preserve">  新建城区和新建居住（小）区应当按照规划要求和养老服务标准规范相对集中配套建设相应的养老机构。配套建设的养老机构应当与住宅同步规划、同步建设、同步验收、同步使用。</w:t>
      </w:r>
    </w:p>
    <w:p>
      <w:pPr>
        <w:ind w:firstLine="624" w:firstLineChars="200"/>
        <w:rPr>
          <w:rFonts w:hint="eastAsia"/>
          <w:spacing w:val="-4"/>
        </w:rPr>
      </w:pPr>
      <w:r>
        <w:rPr>
          <w:rFonts w:hint="eastAsia" w:eastAsia="方正黑体_GBK"/>
          <w:spacing w:val="-4"/>
        </w:rPr>
        <w:t>第十五条</w:t>
      </w:r>
      <w:r>
        <w:rPr>
          <w:rFonts w:hint="eastAsia"/>
          <w:spacing w:val="-4"/>
        </w:rPr>
        <w:t xml:space="preserve">  老城区和已建成居住（小）区应当通过购置、置换、租赁等方式或者在旧城更新和改造过程中配置相应的养老机构。</w:t>
      </w:r>
    </w:p>
    <w:p>
      <w:pPr>
        <w:ind w:firstLine="640" w:firstLineChars="200"/>
        <w:rPr>
          <w:rFonts w:hint="eastAsia"/>
        </w:rPr>
      </w:pPr>
      <w:r>
        <w:rPr>
          <w:rFonts w:hint="eastAsia" w:eastAsia="方正黑体_GBK"/>
        </w:rPr>
        <w:t>第十六条</w:t>
      </w:r>
      <w:r>
        <w:rPr>
          <w:rFonts w:hint="eastAsia"/>
        </w:rPr>
        <w:t xml:space="preserve">  任何组织和个人不得擅自改变养老机构服务设施使用性质，不得侵占、破坏养老机构服务设施。</w:t>
      </w:r>
    </w:p>
    <w:p>
      <w:pPr>
        <w:ind w:firstLine="640" w:firstLineChars="200"/>
      </w:pPr>
    </w:p>
    <w:p>
      <w:pPr>
        <w:jc w:val="center"/>
        <w:rPr>
          <w:rFonts w:hint="eastAsia" w:eastAsia="方正黑体_GBK"/>
        </w:rPr>
      </w:pPr>
      <w:r>
        <w:rPr>
          <w:rFonts w:hint="eastAsia" w:eastAsia="方正黑体_GBK"/>
        </w:rPr>
        <w:t>第三章  机构设立</w:t>
      </w:r>
    </w:p>
    <w:p>
      <w:pPr>
        <w:ind w:firstLine="640" w:firstLineChars="200"/>
      </w:pPr>
    </w:p>
    <w:p>
      <w:pPr>
        <w:ind w:firstLine="640" w:firstLineChars="200"/>
        <w:rPr>
          <w:rFonts w:hint="eastAsia"/>
        </w:rPr>
      </w:pPr>
      <w:r>
        <w:rPr>
          <w:rFonts w:hint="eastAsia" w:eastAsia="方正黑体_GBK"/>
        </w:rPr>
        <w:t>第十七条</w:t>
      </w:r>
      <w:r>
        <w:rPr>
          <w:rFonts w:hint="eastAsia"/>
        </w:rPr>
        <w:t xml:space="preserve">  养老机构的用房、场地、设施和设备等方面应当符合国家和本市养老机构建筑设计基本规范。</w:t>
      </w:r>
    </w:p>
    <w:p>
      <w:pPr>
        <w:ind w:firstLine="640" w:firstLineChars="200"/>
        <w:rPr>
          <w:rFonts w:hint="eastAsia"/>
        </w:rPr>
      </w:pPr>
      <w:r>
        <w:rPr>
          <w:rFonts w:hint="eastAsia" w:eastAsia="方正黑体_GBK"/>
        </w:rPr>
        <w:t>第十八条</w:t>
      </w:r>
      <w:r>
        <w:rPr>
          <w:rFonts w:hint="eastAsia"/>
        </w:rPr>
        <w:t xml:space="preserve">  设立养老机构，应当依法办理登记手续：</w:t>
      </w:r>
    </w:p>
    <w:p>
      <w:pPr>
        <w:ind w:firstLine="640" w:firstLineChars="200"/>
        <w:rPr>
          <w:rFonts w:hint="eastAsia"/>
        </w:rPr>
      </w:pPr>
      <w:r>
        <w:rPr>
          <w:rFonts w:hint="eastAsia"/>
        </w:rPr>
        <w:t>（一）举办非营利性养老机构，符合事业单位登记规定的，向事业单位管理机关办理登记手续；符合社会组织登记条件的，向民政部门办理社会组织登记手续。</w:t>
      </w:r>
    </w:p>
    <w:p>
      <w:pPr>
        <w:ind w:firstLine="640" w:firstLineChars="200"/>
        <w:rPr>
          <w:rFonts w:hint="eastAsia"/>
        </w:rPr>
      </w:pPr>
      <w:r>
        <w:rPr>
          <w:rFonts w:hint="eastAsia"/>
        </w:rPr>
        <w:t>（二）举办营利性养老机构，向市场监管部门办理登记手续。</w:t>
      </w:r>
    </w:p>
    <w:p>
      <w:pPr>
        <w:ind w:firstLine="640" w:firstLineChars="200"/>
        <w:rPr>
          <w:rFonts w:hint="eastAsia"/>
        </w:rPr>
      </w:pPr>
      <w:r>
        <w:rPr>
          <w:rFonts w:hint="eastAsia" w:eastAsia="方正黑体_GBK"/>
        </w:rPr>
        <w:t>第十九条</w:t>
      </w:r>
      <w:r>
        <w:rPr>
          <w:rFonts w:hint="eastAsia"/>
        </w:rPr>
        <w:t xml:space="preserve">  养老机构依法办理登记手续后，应当按照规定向民政部门备案。</w:t>
      </w:r>
    </w:p>
    <w:p>
      <w:pPr>
        <w:ind w:firstLine="640" w:firstLineChars="200"/>
        <w:rPr>
          <w:rFonts w:hint="eastAsia"/>
        </w:rPr>
      </w:pPr>
      <w:r>
        <w:rPr>
          <w:rFonts w:hint="eastAsia"/>
        </w:rPr>
        <w:t>市、区县（自治县）民政部门应当将备案需要提交的文件、材料目录和示范文本，在办事服务窗口及门户网站上公开。</w:t>
      </w:r>
    </w:p>
    <w:p>
      <w:pPr>
        <w:ind w:firstLine="640" w:firstLineChars="200"/>
        <w:rPr>
          <w:rFonts w:hint="eastAsia"/>
        </w:rPr>
      </w:pPr>
      <w:r>
        <w:rPr>
          <w:rFonts w:hint="eastAsia" w:eastAsia="方正黑体_GBK"/>
        </w:rPr>
        <w:t>第二十条</w:t>
      </w:r>
      <w:r>
        <w:rPr>
          <w:rFonts w:hint="eastAsia"/>
        </w:rPr>
        <w:t xml:space="preserve">  养老机构因改建、扩建等原因暂停服务的，或者因解散、被宣告破产等原因终止服务的，应当提前书面通知老年人及其监护人、代理人。</w:t>
      </w:r>
    </w:p>
    <w:p>
      <w:pPr>
        <w:ind w:firstLine="640" w:firstLineChars="200"/>
        <w:rPr>
          <w:rFonts w:hint="eastAsia"/>
        </w:rPr>
      </w:pPr>
      <w:r>
        <w:rPr>
          <w:rFonts w:hint="eastAsia"/>
        </w:rPr>
        <w:t>老年人需要安置的，养老机构应当根据服务合同约定与老年人协商处理安置事宜。</w:t>
      </w:r>
    </w:p>
    <w:p>
      <w:pPr>
        <w:ind w:firstLine="640" w:firstLineChars="200"/>
        <w:rPr>
          <w:rFonts w:hint="eastAsia"/>
        </w:rPr>
      </w:pPr>
      <w:r>
        <w:rPr>
          <w:rFonts w:hint="eastAsia"/>
        </w:rPr>
        <w:t>服务合同未对安置服务事项进行约定或者约定不明确的，养老机构应当与老年人或者其监护人、代理人协商处理安置事宜。</w:t>
      </w:r>
    </w:p>
    <w:p>
      <w:pPr>
        <w:ind w:firstLine="640" w:firstLineChars="200"/>
        <w:rPr>
          <w:rFonts w:hint="eastAsia"/>
        </w:rPr>
      </w:pPr>
      <w:r>
        <w:rPr>
          <w:rFonts w:hint="eastAsia" w:eastAsia="方正黑体_GBK"/>
        </w:rPr>
        <w:t>第二十一条</w:t>
      </w:r>
      <w:r>
        <w:rPr>
          <w:rFonts w:hint="eastAsia"/>
        </w:rPr>
        <w:t xml:space="preserve">  养老机构应当按照国家有关规定，于暂停或者终止服务60日前，向民政部门提交老年人安置方案。安置方案应当明确老年人的数量、安置计划及实施日期等事项，经民政部门审核后实施。</w:t>
      </w:r>
    </w:p>
    <w:p>
      <w:pPr>
        <w:ind w:firstLine="640" w:firstLineChars="200"/>
        <w:rPr>
          <w:rFonts w:hint="eastAsia"/>
        </w:rPr>
      </w:pPr>
      <w:r>
        <w:rPr>
          <w:rFonts w:hint="eastAsia"/>
        </w:rPr>
        <w:t>民政部门应当自收到安置方案之日起20日内完成审核，督促养老机构实施安置方案，并为其妥善安置老年人提供帮助。</w:t>
      </w:r>
    </w:p>
    <w:p>
      <w:pPr>
        <w:ind w:firstLine="640" w:firstLineChars="200"/>
        <w:rPr>
          <w:rFonts w:hint="eastAsia"/>
        </w:rPr>
      </w:pPr>
      <w:r>
        <w:rPr>
          <w:rFonts w:hint="eastAsia"/>
        </w:rPr>
        <w:t>养老机构不得擅自暂停或者终止养老服务。</w:t>
      </w:r>
    </w:p>
    <w:p>
      <w:pPr>
        <w:ind w:firstLine="640" w:firstLineChars="200"/>
        <w:rPr>
          <w:rFonts w:hint="eastAsia"/>
        </w:rPr>
      </w:pPr>
      <w:r>
        <w:rPr>
          <w:rFonts w:hint="eastAsia" w:eastAsia="方正黑体_GBK"/>
        </w:rPr>
        <w:t>第二十二条</w:t>
      </w:r>
      <w:r>
        <w:rPr>
          <w:rFonts w:hint="eastAsia"/>
        </w:rPr>
        <w:t xml:space="preserve">  养老机构因解散、被宣告破产等原因终止的，应当依法进行清算并办理注销手续。</w:t>
      </w:r>
    </w:p>
    <w:p>
      <w:pPr>
        <w:ind w:firstLine="640" w:firstLineChars="200"/>
      </w:pPr>
    </w:p>
    <w:p>
      <w:pPr>
        <w:jc w:val="center"/>
        <w:rPr>
          <w:rFonts w:hint="eastAsia" w:eastAsia="方正黑体_GBK"/>
        </w:rPr>
      </w:pPr>
      <w:r>
        <w:rPr>
          <w:rFonts w:hint="eastAsia" w:eastAsia="方正黑体_GBK"/>
        </w:rPr>
        <w:t>第四章  扶持发展</w:t>
      </w:r>
    </w:p>
    <w:p>
      <w:pPr>
        <w:ind w:firstLine="640" w:firstLineChars="200"/>
      </w:pPr>
    </w:p>
    <w:p>
      <w:pPr>
        <w:ind w:firstLine="640" w:firstLineChars="200"/>
        <w:rPr>
          <w:rFonts w:hint="eastAsia"/>
        </w:rPr>
      </w:pPr>
      <w:r>
        <w:rPr>
          <w:rFonts w:hint="eastAsia" w:eastAsia="方正黑体_GBK"/>
        </w:rPr>
        <w:t>第二十三条</w:t>
      </w:r>
      <w:r>
        <w:rPr>
          <w:rFonts w:hint="eastAsia"/>
        </w:rPr>
        <w:t xml:space="preserve">  市、区县（自治县）人民政府按照国家和本市有关规定，给予社会力量举办的养老机构建设补贴。</w:t>
      </w:r>
    </w:p>
    <w:p>
      <w:pPr>
        <w:ind w:firstLine="640" w:firstLineChars="200"/>
        <w:rPr>
          <w:rFonts w:hint="eastAsia"/>
        </w:rPr>
      </w:pPr>
      <w:r>
        <w:rPr>
          <w:rFonts w:hint="eastAsia"/>
        </w:rPr>
        <w:t>区县（自治县）人民政府根据社会力量举办的养老机构运营情况，可以给予运营补贴。</w:t>
      </w:r>
    </w:p>
    <w:p>
      <w:pPr>
        <w:ind w:firstLine="640" w:firstLineChars="200"/>
        <w:rPr>
          <w:rFonts w:hint="eastAsia"/>
        </w:rPr>
      </w:pPr>
      <w:r>
        <w:rPr>
          <w:rFonts w:hint="eastAsia" w:eastAsia="方正黑体_GBK"/>
        </w:rPr>
        <w:t>第二十四条</w:t>
      </w:r>
      <w:r>
        <w:rPr>
          <w:rFonts w:hint="eastAsia"/>
        </w:rPr>
        <w:t xml:space="preserve">  养老机构依法享受以下优惠：</w:t>
      </w:r>
    </w:p>
    <w:p>
      <w:pPr>
        <w:ind w:firstLine="640" w:firstLineChars="200"/>
        <w:rPr>
          <w:rFonts w:hint="eastAsia"/>
        </w:rPr>
      </w:pPr>
      <w:r>
        <w:rPr>
          <w:rFonts w:hint="eastAsia"/>
        </w:rPr>
        <w:t>（一）养老服务收入免征增值税；</w:t>
      </w:r>
    </w:p>
    <w:p>
      <w:pPr>
        <w:ind w:firstLine="640" w:firstLineChars="200"/>
        <w:rPr>
          <w:rFonts w:hint="eastAsia"/>
        </w:rPr>
      </w:pPr>
      <w:r>
        <w:rPr>
          <w:rFonts w:hint="eastAsia"/>
        </w:rPr>
        <w:t>（二）非营利性养老机构自用房产和土地免征房产税、城镇土地使用税；</w:t>
      </w:r>
    </w:p>
    <w:p>
      <w:pPr>
        <w:ind w:firstLine="640" w:firstLineChars="200"/>
        <w:rPr>
          <w:rFonts w:hint="eastAsia"/>
        </w:rPr>
      </w:pPr>
      <w:r>
        <w:rPr>
          <w:rFonts w:hint="eastAsia"/>
        </w:rPr>
        <w:t>（三）符合条件的非营利性养老机构的收入，按照规定免征企业所得税；</w:t>
      </w:r>
    </w:p>
    <w:p>
      <w:pPr>
        <w:ind w:firstLine="640" w:firstLineChars="200"/>
        <w:rPr>
          <w:rFonts w:hint="eastAsia"/>
        </w:rPr>
      </w:pPr>
      <w:r>
        <w:rPr>
          <w:rFonts w:hint="eastAsia"/>
        </w:rPr>
        <w:t>（四）非营利性养老机构建设免征行政事业性收费，营利性养老机构建设减半征收行政事业性收费；</w:t>
      </w:r>
    </w:p>
    <w:p>
      <w:pPr>
        <w:ind w:firstLine="640" w:firstLineChars="200"/>
        <w:rPr>
          <w:rFonts w:hint="eastAsia"/>
        </w:rPr>
      </w:pPr>
      <w:r>
        <w:rPr>
          <w:rFonts w:hint="eastAsia"/>
        </w:rPr>
        <w:t>（五）用水、用电、用气等按照居民生活类价格执行；</w:t>
      </w:r>
    </w:p>
    <w:p>
      <w:pPr>
        <w:ind w:firstLine="640" w:firstLineChars="200"/>
        <w:rPr>
          <w:rFonts w:hint="eastAsia"/>
        </w:rPr>
      </w:pPr>
      <w:r>
        <w:rPr>
          <w:rFonts w:hint="eastAsia"/>
        </w:rPr>
        <w:t>（六）国家和本市规定的其他优惠政策。</w:t>
      </w:r>
    </w:p>
    <w:p>
      <w:pPr>
        <w:ind w:firstLine="640" w:firstLineChars="200"/>
        <w:rPr>
          <w:rFonts w:hint="eastAsia"/>
        </w:rPr>
      </w:pPr>
      <w:r>
        <w:rPr>
          <w:rFonts w:hint="eastAsia"/>
        </w:rPr>
        <w:t>鼓励水、电、气安装服务企业和有关经营性单位对养老机构实行收费优惠。</w:t>
      </w:r>
    </w:p>
    <w:p>
      <w:pPr>
        <w:ind w:firstLine="640" w:firstLineChars="200"/>
        <w:rPr>
          <w:rFonts w:hint="eastAsia"/>
        </w:rPr>
      </w:pPr>
      <w:r>
        <w:rPr>
          <w:rFonts w:hint="eastAsia"/>
        </w:rPr>
        <w:t>外国投资者设立的养老机构，与国内投资者设立的养老机构享受同等优惠政策。</w:t>
      </w:r>
    </w:p>
    <w:p>
      <w:pPr>
        <w:ind w:firstLine="640" w:firstLineChars="200"/>
        <w:rPr>
          <w:rFonts w:hint="eastAsia"/>
        </w:rPr>
      </w:pPr>
      <w:r>
        <w:rPr>
          <w:rFonts w:hint="eastAsia" w:eastAsia="方正黑体_GBK"/>
        </w:rPr>
        <w:t xml:space="preserve">第二十五条 </w:t>
      </w:r>
      <w:r>
        <w:rPr>
          <w:rFonts w:hint="eastAsia"/>
        </w:rPr>
        <w:t xml:space="preserve"> 政府通过贷款贴息、风险补偿等方式，引导信贷资金和社会资金投资发展养老机构。</w:t>
      </w:r>
    </w:p>
    <w:p>
      <w:pPr>
        <w:ind w:firstLine="640" w:firstLineChars="200"/>
        <w:rPr>
          <w:rFonts w:hint="eastAsia"/>
        </w:rPr>
      </w:pPr>
      <w:r>
        <w:rPr>
          <w:rFonts w:hint="eastAsia"/>
        </w:rPr>
        <w:t>鼓励金融机构为符合条件的养老机构和老年人提供专项基金、中长期贷款以及综合金融服务。</w:t>
      </w:r>
    </w:p>
    <w:p>
      <w:pPr>
        <w:ind w:firstLine="640" w:firstLineChars="200"/>
        <w:rPr>
          <w:rFonts w:hint="eastAsia"/>
        </w:rPr>
      </w:pPr>
      <w:r>
        <w:rPr>
          <w:rFonts w:hint="eastAsia" w:eastAsia="方正黑体_GBK"/>
        </w:rPr>
        <w:t>第二十六条</w:t>
      </w:r>
      <w:r>
        <w:rPr>
          <w:rFonts w:hint="eastAsia"/>
        </w:rPr>
        <w:t xml:space="preserve">  市人力社保、卫生健康、医保、民政、财政等部门应当逐步建立符合本市实际的长期护理保险制度，将失能老年人按照规定纳入长期护理保险范围。</w:t>
      </w:r>
    </w:p>
    <w:p>
      <w:pPr>
        <w:ind w:firstLine="640" w:firstLineChars="200"/>
        <w:rPr>
          <w:rFonts w:hint="eastAsia"/>
        </w:rPr>
      </w:pPr>
      <w:r>
        <w:rPr>
          <w:rFonts w:hint="eastAsia"/>
        </w:rPr>
        <w:t>对具有本市户籍、生活长期不能自理且经济困难的老年人，市、区县（自治县）人民政府根据其失能程度等情况，按照国家和本市规定给予相应的护理补贴或者为其购买服务。</w:t>
      </w:r>
    </w:p>
    <w:p>
      <w:pPr>
        <w:ind w:firstLine="640" w:firstLineChars="200"/>
        <w:rPr>
          <w:rFonts w:hint="eastAsia"/>
        </w:rPr>
      </w:pPr>
      <w:r>
        <w:rPr>
          <w:rFonts w:hint="eastAsia" w:eastAsia="方正黑体_GBK"/>
        </w:rPr>
        <w:t xml:space="preserve">第二十七条 </w:t>
      </w:r>
      <w:r>
        <w:rPr>
          <w:rFonts w:hint="eastAsia"/>
        </w:rPr>
        <w:t xml:space="preserve"> 鼓励养老机构投保综合责任保险。</w:t>
      </w:r>
    </w:p>
    <w:p>
      <w:pPr>
        <w:ind w:firstLine="640" w:firstLineChars="200"/>
        <w:rPr>
          <w:rFonts w:hint="eastAsia"/>
        </w:rPr>
      </w:pPr>
      <w:r>
        <w:rPr>
          <w:rFonts w:hint="eastAsia"/>
        </w:rPr>
        <w:t>鼓励商业保险机构开发适合老年人的险种。</w:t>
      </w:r>
    </w:p>
    <w:p>
      <w:pPr>
        <w:ind w:firstLine="640" w:firstLineChars="200"/>
        <w:rPr>
          <w:rFonts w:hint="eastAsia"/>
        </w:rPr>
      </w:pPr>
      <w:r>
        <w:rPr>
          <w:rFonts w:hint="eastAsia" w:eastAsia="方正黑体_GBK"/>
        </w:rPr>
        <w:t>第二十八条</w:t>
      </w:r>
      <w:r>
        <w:rPr>
          <w:rFonts w:hint="eastAsia"/>
        </w:rPr>
        <w:t xml:space="preserve">  支持有条件的养老机构依法设立医疗机构，设置长期护理照料床位，提供医疗和护理服务。</w:t>
      </w:r>
    </w:p>
    <w:p>
      <w:pPr>
        <w:ind w:firstLine="640" w:firstLineChars="200"/>
        <w:rPr>
          <w:rFonts w:hint="eastAsia"/>
        </w:rPr>
      </w:pPr>
      <w:r>
        <w:rPr>
          <w:rFonts w:hint="eastAsia"/>
        </w:rPr>
        <w:t>养老机构设置的医疗机构符合医疗保险定点医疗机构条件的，按照规定纳入医疗保险协议定点范围，并按医疗保险规定联网结算。</w:t>
      </w:r>
    </w:p>
    <w:p>
      <w:pPr>
        <w:ind w:firstLine="640" w:firstLineChars="200"/>
        <w:rPr>
          <w:rFonts w:hint="eastAsia"/>
        </w:rPr>
      </w:pPr>
      <w:r>
        <w:rPr>
          <w:rFonts w:hint="eastAsia"/>
        </w:rPr>
        <w:t>鼓励其他各类医疗机构为养老机构提供医疗支持。基层医疗卫生机构、二级综合医疗机构应当根据需求和规划设置老年护理床位，提供保健、护理、安宁疗护等服务。</w:t>
      </w:r>
    </w:p>
    <w:p>
      <w:pPr>
        <w:ind w:firstLine="640" w:firstLineChars="200"/>
        <w:rPr>
          <w:rFonts w:hint="eastAsia"/>
        </w:rPr>
      </w:pPr>
      <w:r>
        <w:rPr>
          <w:rFonts w:hint="eastAsia" w:eastAsia="方正黑体_GBK"/>
        </w:rPr>
        <w:t xml:space="preserve">第二十九条 </w:t>
      </w:r>
      <w:r>
        <w:rPr>
          <w:rFonts w:hint="eastAsia"/>
        </w:rPr>
        <w:t xml:space="preserve"> 鼓励养老机构利用专业设施、场地、人员和技术等资源优势，培训指导专业院校、社区养老服务人员和其他养老照料人员。</w:t>
      </w:r>
    </w:p>
    <w:p>
      <w:pPr>
        <w:ind w:firstLine="640" w:firstLineChars="200"/>
        <w:rPr>
          <w:rFonts w:hint="eastAsia"/>
        </w:rPr>
      </w:pPr>
      <w:r>
        <w:rPr>
          <w:rFonts w:hint="eastAsia"/>
        </w:rPr>
        <w:t>鼓励养老机构上门为居家老年人提供助餐、助浴、助洁、助医等服务。</w:t>
      </w:r>
    </w:p>
    <w:p>
      <w:pPr>
        <w:ind w:firstLine="640" w:firstLineChars="200"/>
        <w:rPr>
          <w:rFonts w:hint="eastAsia"/>
        </w:rPr>
      </w:pPr>
      <w:r>
        <w:rPr>
          <w:rFonts w:hint="eastAsia" w:eastAsia="方正黑体_GBK"/>
        </w:rPr>
        <w:t xml:space="preserve">第三十条 </w:t>
      </w:r>
      <w:r>
        <w:rPr>
          <w:rFonts w:hint="eastAsia"/>
        </w:rPr>
        <w:t xml:space="preserve"> 鼓励和支持高等院校、中等职业学校设置养老护理等养老服务相关专业，对符合条件的学生按照规定提供奖（助）学金和资助资金。对中等职业学校就读养老服务相关专业的学生减免学费。</w:t>
      </w:r>
    </w:p>
    <w:p>
      <w:pPr>
        <w:ind w:firstLine="640" w:firstLineChars="200"/>
        <w:rPr>
          <w:rFonts w:hint="eastAsia"/>
        </w:rPr>
      </w:pPr>
      <w:r>
        <w:rPr>
          <w:rFonts w:hint="eastAsia"/>
        </w:rPr>
        <w:t>支持高等院校、中等职业学校、养老机构和职业培训机构等开展培训项目，对参加养老服务技能培训、创业培训且培训合格的从业人员，按照规定给予培训补贴。</w:t>
      </w:r>
    </w:p>
    <w:p>
      <w:pPr>
        <w:ind w:firstLine="640" w:firstLineChars="200"/>
        <w:rPr>
          <w:rFonts w:hint="eastAsia"/>
        </w:rPr>
      </w:pPr>
      <w:r>
        <w:rPr>
          <w:rFonts w:hint="eastAsia" w:eastAsia="方正黑体_GBK"/>
        </w:rPr>
        <w:t xml:space="preserve">第三十一条 </w:t>
      </w:r>
      <w:r>
        <w:rPr>
          <w:rFonts w:hint="eastAsia"/>
        </w:rPr>
        <w:t xml:space="preserve"> 养老机构护理人员的职称晋升按照社会工作人员职称序列参加申报、评审。第三方专业机构可以按照自愿、公平、公正原则开展养老护理员等级评定。</w:t>
      </w:r>
    </w:p>
    <w:p>
      <w:pPr>
        <w:ind w:firstLine="640" w:firstLineChars="200"/>
        <w:rPr>
          <w:rFonts w:hint="eastAsia"/>
        </w:rPr>
      </w:pPr>
      <w:r>
        <w:rPr>
          <w:rFonts w:hint="eastAsia"/>
        </w:rPr>
        <w:t>养老机构聘用的医生、护士、康复医师等专业技术人员，在技术职称评定、继续教育、职业技能培训等方面与医疗机构同类卫生专业技术人员享受同等待遇。</w:t>
      </w:r>
    </w:p>
    <w:p>
      <w:pPr>
        <w:ind w:firstLine="640" w:firstLineChars="200"/>
        <w:rPr>
          <w:rFonts w:hint="eastAsia"/>
        </w:rPr>
      </w:pPr>
      <w:r>
        <w:rPr>
          <w:rFonts w:hint="eastAsia"/>
        </w:rPr>
        <w:t>对高等院校、中等职业学校养老服务相关专业的毕业生从事养老服务工作，按照规定给予入职补贴。</w:t>
      </w:r>
    </w:p>
    <w:p>
      <w:pPr>
        <w:ind w:firstLine="640" w:firstLineChars="200"/>
        <w:rPr>
          <w:rFonts w:hint="eastAsia"/>
        </w:rPr>
      </w:pPr>
      <w:r>
        <w:rPr>
          <w:rFonts w:hint="eastAsia"/>
        </w:rPr>
        <w:t>对长期从事养老护理服务工作的人员，按照规定给予奖励。</w:t>
      </w:r>
    </w:p>
    <w:p>
      <w:pPr>
        <w:ind w:firstLine="640" w:firstLineChars="200"/>
        <w:rPr>
          <w:rFonts w:hint="eastAsia"/>
        </w:rPr>
      </w:pPr>
      <w:r>
        <w:rPr>
          <w:rFonts w:hint="eastAsia" w:eastAsia="方正黑体_GBK"/>
        </w:rPr>
        <w:t>第三十二条</w:t>
      </w:r>
      <w:r>
        <w:rPr>
          <w:rFonts w:hint="eastAsia"/>
        </w:rPr>
        <w:t xml:space="preserve">  支持发展为老年人服务的志愿服务组织，建立志愿服务激励机制，对表现突出的志愿服务组织、志愿者按规定给予褒扬、嘉奖。</w:t>
      </w:r>
    </w:p>
    <w:p>
      <w:pPr>
        <w:ind w:firstLine="640" w:firstLineChars="200"/>
        <w:rPr>
          <w:rFonts w:hint="eastAsia"/>
        </w:rPr>
      </w:pPr>
      <w:r>
        <w:rPr>
          <w:rFonts w:hint="eastAsia"/>
        </w:rPr>
        <w:t>鼓励通过政府购买服务等方式，支持养老机构设立老年社会工作岗位，配备专业的社会工作者，为老年人提供专业服务。</w:t>
      </w:r>
    </w:p>
    <w:p>
      <w:pPr>
        <w:ind w:firstLine="640" w:firstLineChars="200"/>
        <w:rPr>
          <w:rFonts w:hint="eastAsia"/>
        </w:rPr>
      </w:pPr>
      <w:r>
        <w:rPr>
          <w:rFonts w:hint="eastAsia" w:eastAsia="方正黑体_GBK"/>
        </w:rPr>
        <w:t>第三十三条</w:t>
      </w:r>
      <w:r>
        <w:rPr>
          <w:rFonts w:hint="eastAsia"/>
        </w:rPr>
        <w:t xml:space="preserve">  鼓励建设区域性农村养老机构，满足农村老年人养老服务需求。</w:t>
      </w:r>
    </w:p>
    <w:p>
      <w:pPr>
        <w:ind w:firstLine="640" w:firstLineChars="200"/>
        <w:rPr>
          <w:rFonts w:hint="eastAsia"/>
        </w:rPr>
      </w:pPr>
      <w:r>
        <w:rPr>
          <w:rFonts w:hint="eastAsia"/>
        </w:rPr>
        <w:t>区县（自治县）人民政府应当按照不低于集中供养对象年基本生活金15%的比例，核定政府投资兴办的农村养老机构管理运行经费。</w:t>
      </w:r>
    </w:p>
    <w:p>
      <w:pPr>
        <w:ind w:firstLine="640" w:firstLineChars="200"/>
      </w:pPr>
    </w:p>
    <w:p>
      <w:pPr>
        <w:jc w:val="center"/>
        <w:rPr>
          <w:rFonts w:hint="eastAsia" w:eastAsia="方正黑体_GBK"/>
        </w:rPr>
      </w:pPr>
      <w:r>
        <w:rPr>
          <w:rFonts w:hint="eastAsia" w:eastAsia="方正黑体_GBK"/>
        </w:rPr>
        <w:t>第五章  服务运营</w:t>
      </w:r>
    </w:p>
    <w:p>
      <w:pPr>
        <w:ind w:firstLine="640" w:firstLineChars="200"/>
      </w:pPr>
    </w:p>
    <w:p>
      <w:pPr>
        <w:ind w:firstLine="640" w:firstLineChars="200"/>
        <w:rPr>
          <w:rFonts w:hint="eastAsia"/>
        </w:rPr>
      </w:pPr>
      <w:r>
        <w:rPr>
          <w:rFonts w:hint="eastAsia" w:eastAsia="方正黑体_GBK"/>
        </w:rPr>
        <w:t>第三十四条</w:t>
      </w:r>
      <w:r>
        <w:rPr>
          <w:rFonts w:hint="eastAsia"/>
        </w:rPr>
        <w:t xml:space="preserve">  市民政部门应当会同市市场监管部门制定我市养老服务标准。</w:t>
      </w:r>
    </w:p>
    <w:p>
      <w:pPr>
        <w:ind w:firstLine="640" w:firstLineChars="200"/>
        <w:rPr>
          <w:rFonts w:hint="eastAsia"/>
        </w:rPr>
      </w:pPr>
      <w:r>
        <w:rPr>
          <w:rFonts w:hint="eastAsia"/>
        </w:rPr>
        <w:t>养老机构提供的服务应当符合国家标准、行业标准及地方标准。</w:t>
      </w:r>
    </w:p>
    <w:p>
      <w:pPr>
        <w:ind w:firstLine="640" w:firstLineChars="200"/>
        <w:rPr>
          <w:rFonts w:hint="eastAsia"/>
        </w:rPr>
      </w:pPr>
      <w:r>
        <w:rPr>
          <w:rFonts w:hint="eastAsia"/>
        </w:rPr>
        <w:t>养老机构应当在经营场所醒目位置按照规定公开其执行的标准。</w:t>
      </w:r>
    </w:p>
    <w:p>
      <w:pPr>
        <w:ind w:firstLine="640" w:firstLineChars="200"/>
        <w:rPr>
          <w:rFonts w:hint="eastAsia"/>
        </w:rPr>
      </w:pPr>
      <w:r>
        <w:rPr>
          <w:rFonts w:hint="eastAsia" w:eastAsia="方正黑体_GBK"/>
        </w:rPr>
        <w:t>第三十五条</w:t>
      </w:r>
      <w:r>
        <w:rPr>
          <w:rFonts w:hint="eastAsia"/>
        </w:rPr>
        <w:t xml:space="preserve">  市民政部门应当会同市医保、卫生健康等部门和行业协会根据国家老年人能力评估标准制定本市老年人护理等级评估标准和评估管理办法。</w:t>
      </w:r>
    </w:p>
    <w:p>
      <w:pPr>
        <w:ind w:firstLine="640" w:firstLineChars="200"/>
        <w:rPr>
          <w:rFonts w:hint="eastAsia"/>
        </w:rPr>
      </w:pPr>
      <w:r>
        <w:rPr>
          <w:rFonts w:hint="eastAsia"/>
        </w:rPr>
        <w:t>养老机构应当建立入院评估制度。根据本市护理等级评估标准，对老年人的身体和精神状况进行评估，确定护理等级，经老年人或者其监护人、代理人确认后，在服务合同中载明。</w:t>
      </w:r>
    </w:p>
    <w:p>
      <w:pPr>
        <w:ind w:firstLine="640" w:firstLineChars="200"/>
        <w:rPr>
          <w:rFonts w:hint="eastAsia"/>
        </w:rPr>
      </w:pPr>
      <w:r>
        <w:rPr>
          <w:rFonts w:hint="eastAsia"/>
        </w:rPr>
        <w:t>老年人身体或者精神状况发生变化，需要变更护理等级的，养老机构应当重新评估，经老年人或者其监护人、代理人确认后，变更服务合同的相关内容。</w:t>
      </w:r>
    </w:p>
    <w:p>
      <w:pPr>
        <w:ind w:firstLine="640" w:firstLineChars="200"/>
        <w:rPr>
          <w:rFonts w:hint="eastAsia"/>
        </w:rPr>
      </w:pPr>
      <w:r>
        <w:rPr>
          <w:rFonts w:hint="eastAsia"/>
        </w:rPr>
        <w:t>养老机构、老年人或者其监护人、代理人可以通过第三方专业机构进行护理等级评估。</w:t>
      </w:r>
    </w:p>
    <w:p>
      <w:pPr>
        <w:ind w:firstLine="640" w:firstLineChars="200"/>
        <w:rPr>
          <w:rFonts w:hint="eastAsia"/>
        </w:rPr>
      </w:pPr>
      <w:r>
        <w:rPr>
          <w:rFonts w:hint="eastAsia" w:eastAsia="方正黑体_GBK"/>
        </w:rPr>
        <w:t>第三十六条</w:t>
      </w:r>
      <w:r>
        <w:rPr>
          <w:rFonts w:hint="eastAsia"/>
        </w:rPr>
        <w:t xml:space="preserve">  养老机构应当与老年人或者其监护人、代理人签订服务合同。双方可以参考使用国家制定的养老机构服务合同示范文本。</w:t>
      </w:r>
    </w:p>
    <w:p>
      <w:pPr>
        <w:ind w:firstLine="640" w:firstLineChars="200"/>
        <w:rPr>
          <w:rFonts w:hint="eastAsia"/>
        </w:rPr>
      </w:pPr>
      <w:r>
        <w:rPr>
          <w:rFonts w:hint="eastAsia" w:eastAsia="方正黑体_GBK"/>
        </w:rPr>
        <w:t>第三十七条</w:t>
      </w:r>
      <w:r>
        <w:rPr>
          <w:rFonts w:hint="eastAsia"/>
        </w:rPr>
        <w:t xml:space="preserve">  养老机构应当开展下列照料服务：</w:t>
      </w:r>
    </w:p>
    <w:p>
      <w:pPr>
        <w:ind w:firstLine="640" w:firstLineChars="200"/>
        <w:rPr>
          <w:rFonts w:hint="eastAsia"/>
        </w:rPr>
      </w:pPr>
      <w:r>
        <w:rPr>
          <w:rFonts w:hint="eastAsia"/>
        </w:rPr>
        <w:t>（一）提供符合食品安全要求和民族风俗习惯，适宜老年人食用的膳食；</w:t>
      </w:r>
    </w:p>
    <w:p>
      <w:pPr>
        <w:ind w:firstLine="640" w:firstLineChars="200"/>
        <w:rPr>
          <w:rFonts w:hint="eastAsia"/>
        </w:rPr>
      </w:pPr>
      <w:r>
        <w:rPr>
          <w:rFonts w:hint="eastAsia"/>
        </w:rPr>
        <w:t>（二）提供符合老年人居住条件的住房，并配备适合老年人安全保护要求的设施、设备及用具；</w:t>
      </w:r>
    </w:p>
    <w:p>
      <w:pPr>
        <w:ind w:firstLine="640" w:firstLineChars="200"/>
        <w:rPr>
          <w:rFonts w:hint="eastAsia"/>
        </w:rPr>
      </w:pPr>
      <w:r>
        <w:rPr>
          <w:rFonts w:hint="eastAsia"/>
        </w:rPr>
        <w:t>（三）定期对老年人活动场所和使用物品进行清洗消毒；</w:t>
      </w:r>
    </w:p>
    <w:p>
      <w:pPr>
        <w:ind w:firstLine="640" w:firstLineChars="200"/>
        <w:rPr>
          <w:rFonts w:hint="eastAsia"/>
        </w:rPr>
      </w:pPr>
      <w:r>
        <w:rPr>
          <w:rFonts w:hint="eastAsia"/>
        </w:rPr>
        <w:t>（四）开展适合老年人的文化、体育、娱乐活动；</w:t>
      </w:r>
    </w:p>
    <w:p>
      <w:pPr>
        <w:ind w:firstLine="640" w:firstLineChars="200"/>
        <w:rPr>
          <w:rFonts w:hint="eastAsia"/>
        </w:rPr>
      </w:pPr>
      <w:r>
        <w:rPr>
          <w:rFonts w:hint="eastAsia"/>
        </w:rPr>
        <w:t>（五）根据需要为老年人提供情绪疏导、心理咨询等人文关怀服务；</w:t>
      </w:r>
    </w:p>
    <w:p>
      <w:pPr>
        <w:ind w:firstLine="640" w:firstLineChars="200"/>
        <w:rPr>
          <w:rFonts w:hint="eastAsia"/>
        </w:rPr>
      </w:pPr>
      <w:r>
        <w:rPr>
          <w:rFonts w:hint="eastAsia"/>
        </w:rPr>
        <w:t>（六）建立夜间值班制度，做好老年人夜间监护工作；</w:t>
      </w:r>
    </w:p>
    <w:p>
      <w:pPr>
        <w:ind w:firstLine="640" w:firstLineChars="200"/>
        <w:rPr>
          <w:rFonts w:hint="eastAsia"/>
        </w:rPr>
      </w:pPr>
      <w:r>
        <w:rPr>
          <w:rFonts w:hint="eastAsia"/>
        </w:rPr>
        <w:t>（七）其他适合老年人的生活照料服务。</w:t>
      </w:r>
    </w:p>
    <w:p>
      <w:pPr>
        <w:ind w:firstLine="640" w:firstLineChars="200"/>
        <w:rPr>
          <w:rFonts w:hint="eastAsia"/>
        </w:rPr>
      </w:pPr>
      <w:r>
        <w:rPr>
          <w:rFonts w:hint="eastAsia" w:eastAsia="方正黑体_GBK"/>
        </w:rPr>
        <w:t>第三十八条</w:t>
      </w:r>
      <w:r>
        <w:rPr>
          <w:rFonts w:hint="eastAsia"/>
        </w:rPr>
        <w:t xml:space="preserve">  养老机构应当为老年人定期检查身体，宣传日常保健知识，做好疾病预防工作。</w:t>
      </w:r>
    </w:p>
    <w:p>
      <w:pPr>
        <w:ind w:firstLine="640" w:firstLineChars="200"/>
        <w:rPr>
          <w:rFonts w:hint="eastAsia"/>
        </w:rPr>
      </w:pPr>
      <w:r>
        <w:rPr>
          <w:rFonts w:hint="eastAsia"/>
        </w:rPr>
        <w:t>养老机构在老年人突发危重疾病时，应当及时通知其监护人、代理人，并转送医疗机构救治。</w:t>
      </w:r>
    </w:p>
    <w:p>
      <w:pPr>
        <w:ind w:firstLine="640" w:firstLineChars="200"/>
        <w:rPr>
          <w:rFonts w:hint="eastAsia"/>
        </w:rPr>
      </w:pPr>
      <w:r>
        <w:rPr>
          <w:rFonts w:hint="eastAsia"/>
        </w:rPr>
        <w:t>养老机构发现老年人为疑似传染病病人或者精神障碍患者时，应当通知其监护人、代理人，并按照传染病防治、精神卫生相关法律法规的规定处理。</w:t>
      </w:r>
    </w:p>
    <w:p>
      <w:pPr>
        <w:ind w:firstLine="640" w:firstLineChars="200"/>
        <w:rPr>
          <w:rFonts w:hint="eastAsia"/>
        </w:rPr>
      </w:pPr>
      <w:r>
        <w:rPr>
          <w:rFonts w:hint="eastAsia" w:eastAsia="方正黑体_GBK"/>
        </w:rPr>
        <w:t>第三十九条</w:t>
      </w:r>
      <w:r>
        <w:rPr>
          <w:rFonts w:hint="eastAsia"/>
        </w:rPr>
        <w:t xml:space="preserve">  养老机构应当配备与服务和运营相适应的管理人员和专业技术人员，并根据不同护理等级配备相应比例的护理人员。</w:t>
      </w:r>
    </w:p>
    <w:p>
      <w:pPr>
        <w:ind w:firstLine="640" w:firstLineChars="200"/>
        <w:rPr>
          <w:rFonts w:hint="eastAsia"/>
        </w:rPr>
      </w:pPr>
      <w:r>
        <w:rPr>
          <w:rFonts w:hint="eastAsia"/>
        </w:rPr>
        <w:t>养老机构中的专业技术人员，应当具有相应专业技术资格；养老护理人员应当接受专业技能培训，经培训合格后上岗。</w:t>
      </w:r>
    </w:p>
    <w:p>
      <w:pPr>
        <w:ind w:firstLine="640" w:firstLineChars="200"/>
        <w:rPr>
          <w:rFonts w:hint="eastAsia"/>
        </w:rPr>
      </w:pPr>
      <w:r>
        <w:rPr>
          <w:rFonts w:hint="eastAsia"/>
        </w:rPr>
        <w:t>养老机构应当依法与其工作人员签订聘用合同或者劳动合同，提供相应的劳动保护和职业防护，定期组织工作人员进行职业道德教育和专业技能培训。</w:t>
      </w:r>
    </w:p>
    <w:p>
      <w:pPr>
        <w:ind w:firstLine="640" w:firstLineChars="200"/>
        <w:rPr>
          <w:rFonts w:hint="eastAsia"/>
        </w:rPr>
      </w:pPr>
      <w:r>
        <w:rPr>
          <w:rFonts w:hint="eastAsia" w:eastAsia="方正黑体_GBK"/>
        </w:rPr>
        <w:t>第四十条</w:t>
      </w:r>
      <w:r>
        <w:rPr>
          <w:rFonts w:hint="eastAsia"/>
        </w:rPr>
        <w:t xml:space="preserve">  养老机构中从事护理、餐饮等工作的人员应当具有有效的健康证明，每年定期进行健康检查；对患有可能影响老年人身体健康疾病的，养老机构应当及时调整工作岗位。</w:t>
      </w:r>
    </w:p>
    <w:p>
      <w:pPr>
        <w:ind w:firstLine="640" w:firstLineChars="200"/>
        <w:rPr>
          <w:rFonts w:hint="eastAsia"/>
        </w:rPr>
      </w:pPr>
      <w:r>
        <w:rPr>
          <w:rFonts w:hint="eastAsia" w:eastAsia="方正黑体_GBK"/>
        </w:rPr>
        <w:t>第四十一条</w:t>
      </w:r>
      <w:r>
        <w:rPr>
          <w:rFonts w:hint="eastAsia"/>
        </w:rPr>
        <w:t xml:space="preserve">  养老机构应当按照国家和本市有关规定，健全消防、安全值守、设施设备、食品药品等安全管理制度，确定专人负责，定期开展安全检查，及时消除安全隐患。</w:t>
      </w:r>
    </w:p>
    <w:p>
      <w:pPr>
        <w:ind w:firstLine="640" w:firstLineChars="200"/>
        <w:rPr>
          <w:rFonts w:hint="eastAsia"/>
        </w:rPr>
      </w:pPr>
      <w:r>
        <w:rPr>
          <w:rFonts w:hint="eastAsia" w:eastAsia="方正黑体_GBK"/>
        </w:rPr>
        <w:t>第四十二条</w:t>
      </w:r>
      <w:r>
        <w:rPr>
          <w:rFonts w:hint="eastAsia"/>
        </w:rPr>
        <w:t xml:space="preserve">  养老机构应当制定突发事件应急预案，并定期进行应急演练。</w:t>
      </w:r>
    </w:p>
    <w:p>
      <w:pPr>
        <w:ind w:firstLine="640" w:firstLineChars="200"/>
        <w:rPr>
          <w:rFonts w:hint="eastAsia"/>
        </w:rPr>
      </w:pPr>
      <w:r>
        <w:rPr>
          <w:rFonts w:hint="eastAsia"/>
        </w:rPr>
        <w:t>突发事件发生后，养老机构应当立即启动应急处理程序，根据突发事件应对管理职责分工向有关部门报告，并将应急处理结果报民政部门。</w:t>
      </w:r>
    </w:p>
    <w:p>
      <w:pPr>
        <w:ind w:firstLine="640" w:firstLineChars="200"/>
        <w:rPr>
          <w:rFonts w:hint="eastAsia"/>
        </w:rPr>
      </w:pPr>
      <w:r>
        <w:rPr>
          <w:rFonts w:hint="eastAsia" w:eastAsia="方正黑体_GBK"/>
        </w:rPr>
        <w:t>第四十三条</w:t>
      </w:r>
      <w:r>
        <w:rPr>
          <w:rFonts w:hint="eastAsia"/>
        </w:rPr>
        <w:t xml:space="preserve">  政府投资兴办的养老机构，实行政府定价或者政府指导价。</w:t>
      </w:r>
    </w:p>
    <w:p>
      <w:pPr>
        <w:ind w:firstLine="640" w:firstLineChars="200"/>
        <w:rPr>
          <w:rFonts w:hint="eastAsia"/>
        </w:rPr>
      </w:pPr>
      <w:r>
        <w:rPr>
          <w:rFonts w:hint="eastAsia"/>
        </w:rPr>
        <w:t>社会力量举办的营利性养老机构的服务收费标准由经营者自主确定；社会力量举办的非营利性养老机构的服务收费标准由经营者合理确定，有关部门进行价格监管。</w:t>
      </w:r>
    </w:p>
    <w:p>
      <w:pPr>
        <w:ind w:firstLine="640" w:firstLineChars="200"/>
        <w:rPr>
          <w:rFonts w:hint="eastAsia"/>
        </w:rPr>
      </w:pPr>
      <w:r>
        <w:rPr>
          <w:rFonts w:hint="eastAsia"/>
        </w:rPr>
        <w:t>养老机构应当在经营场所醒目位置公示各类服务项目、服务内容、收费标准和收费依据。</w:t>
      </w:r>
    </w:p>
    <w:p>
      <w:pPr>
        <w:ind w:firstLine="640" w:firstLineChars="200"/>
        <w:rPr>
          <w:rFonts w:hint="eastAsia"/>
        </w:rPr>
      </w:pPr>
      <w:r>
        <w:rPr>
          <w:rFonts w:hint="eastAsia" w:eastAsia="方正黑体_GBK"/>
        </w:rPr>
        <w:t>第四十四条</w:t>
      </w:r>
      <w:r>
        <w:rPr>
          <w:rFonts w:hint="eastAsia"/>
        </w:rPr>
        <w:t xml:space="preserve">  养老机构应当建立健全财务制度，定期制作财务报告，并接受相关部门监督。</w:t>
      </w:r>
    </w:p>
    <w:p>
      <w:pPr>
        <w:ind w:firstLine="640" w:firstLineChars="200"/>
        <w:rPr>
          <w:rFonts w:hint="eastAsia"/>
        </w:rPr>
      </w:pPr>
      <w:r>
        <w:rPr>
          <w:rFonts w:hint="eastAsia"/>
        </w:rPr>
        <w:t>养老机构应当建立老年人膳食等费用专门账户，定期向老年人或者其监护人、代理人公开账目。</w:t>
      </w:r>
    </w:p>
    <w:p>
      <w:pPr>
        <w:ind w:firstLine="640" w:firstLineChars="200"/>
        <w:rPr>
          <w:rFonts w:hint="eastAsia"/>
        </w:rPr>
      </w:pPr>
      <w:r>
        <w:rPr>
          <w:rFonts w:hint="eastAsia" w:eastAsia="方正黑体_GBK"/>
        </w:rPr>
        <w:t>第四十五条</w:t>
      </w:r>
      <w:r>
        <w:rPr>
          <w:rFonts w:hint="eastAsia"/>
        </w:rPr>
        <w:t xml:space="preserve">  养老机构应当按照公益事业捐赠法律法规规定接收和使用捐赠物资，并接受有关部门、社会和捐赠人的监督。</w:t>
      </w:r>
    </w:p>
    <w:p>
      <w:pPr>
        <w:ind w:firstLine="640" w:firstLineChars="200"/>
        <w:rPr>
          <w:rFonts w:hint="eastAsia"/>
        </w:rPr>
      </w:pPr>
      <w:r>
        <w:rPr>
          <w:rFonts w:hint="eastAsia" w:eastAsia="方正黑体_GBK"/>
        </w:rPr>
        <w:t>第四十六条</w:t>
      </w:r>
      <w:r>
        <w:rPr>
          <w:rFonts w:hint="eastAsia"/>
        </w:rPr>
        <w:t xml:space="preserve">  养老机构应当定期向老年人或者其监护人、代理人通报机构服务和运营管理的有关情况，听取意见和建议，发挥老年人对养老机构服务和管理的监督促进作用。</w:t>
      </w:r>
    </w:p>
    <w:p>
      <w:pPr>
        <w:ind w:firstLine="640" w:firstLineChars="200"/>
        <w:rPr>
          <w:rFonts w:hint="eastAsia"/>
        </w:rPr>
      </w:pPr>
      <w:r>
        <w:rPr>
          <w:rFonts w:hint="eastAsia" w:eastAsia="方正黑体_GBK"/>
        </w:rPr>
        <w:t>第四十七条</w:t>
      </w:r>
      <w:r>
        <w:rPr>
          <w:rFonts w:hint="eastAsia"/>
        </w:rPr>
        <w:t xml:space="preserve">  养老机构应当建立老年人基本信息档案和健康档案，妥善保存相关原始资料。</w:t>
      </w:r>
    </w:p>
    <w:p>
      <w:pPr>
        <w:ind w:firstLine="640" w:firstLineChars="200"/>
        <w:rPr>
          <w:rFonts w:hint="eastAsia"/>
        </w:rPr>
      </w:pPr>
      <w:r>
        <w:rPr>
          <w:rFonts w:hint="eastAsia"/>
        </w:rPr>
        <w:t>养老机构应当保护老年人的个人信息。</w:t>
      </w:r>
    </w:p>
    <w:p>
      <w:pPr>
        <w:ind w:firstLine="624" w:firstLineChars="200"/>
        <w:rPr>
          <w:rFonts w:hint="eastAsia"/>
          <w:spacing w:val="-4"/>
        </w:rPr>
      </w:pPr>
      <w:r>
        <w:rPr>
          <w:rFonts w:hint="eastAsia" w:eastAsia="方正黑体_GBK"/>
          <w:spacing w:val="-4"/>
        </w:rPr>
        <w:t>第四十八条</w:t>
      </w:r>
      <w:r>
        <w:rPr>
          <w:rFonts w:hint="eastAsia"/>
          <w:spacing w:val="-4"/>
        </w:rPr>
        <w:t xml:space="preserve">  养老机构与老年人或者其监护人、代理人发生争议的，可以自行协商解决，或者申请人民调解组织、行业协会及其他有关组织进行调解，也可以依法通过仲裁、诉讼等途径解决。</w:t>
      </w:r>
    </w:p>
    <w:p>
      <w:pPr>
        <w:ind w:firstLine="640" w:firstLineChars="200"/>
      </w:pPr>
    </w:p>
    <w:p>
      <w:pPr>
        <w:jc w:val="center"/>
        <w:rPr>
          <w:rFonts w:hint="eastAsia" w:eastAsia="方正黑体_GBK"/>
        </w:rPr>
      </w:pPr>
      <w:r>
        <w:rPr>
          <w:rFonts w:hint="eastAsia" w:eastAsia="方正黑体_GBK"/>
        </w:rPr>
        <w:t>第六章  监督管理</w:t>
      </w:r>
    </w:p>
    <w:p>
      <w:pPr>
        <w:ind w:firstLine="640" w:firstLineChars="200"/>
      </w:pPr>
    </w:p>
    <w:p>
      <w:pPr>
        <w:ind w:firstLine="640" w:firstLineChars="200"/>
        <w:rPr>
          <w:rFonts w:hint="eastAsia"/>
        </w:rPr>
      </w:pPr>
      <w:r>
        <w:rPr>
          <w:rFonts w:hint="eastAsia" w:eastAsia="方正黑体_GBK"/>
        </w:rPr>
        <w:t>第四十九条</w:t>
      </w:r>
      <w:r>
        <w:rPr>
          <w:rFonts w:hint="eastAsia"/>
        </w:rPr>
        <w:t xml:space="preserve">  民政部门应当会同相关部门建立养老机构信息归集共享和协同监管机制，对养老机构服务运营进行监督管理。</w:t>
      </w:r>
    </w:p>
    <w:p>
      <w:pPr>
        <w:ind w:firstLine="640" w:firstLineChars="200"/>
        <w:rPr>
          <w:rFonts w:hint="eastAsia"/>
        </w:rPr>
      </w:pPr>
      <w:r>
        <w:rPr>
          <w:rFonts w:hint="eastAsia" w:eastAsia="方正黑体_GBK"/>
        </w:rPr>
        <w:t>第五十条</w:t>
      </w:r>
      <w:r>
        <w:rPr>
          <w:rFonts w:hint="eastAsia"/>
        </w:rPr>
        <w:t xml:space="preserve">  养老机构应当每年向所在地区县（自治县）民政部门报送年度工作报告。</w:t>
      </w:r>
    </w:p>
    <w:p>
      <w:pPr>
        <w:ind w:firstLine="640" w:firstLineChars="200"/>
        <w:rPr>
          <w:rFonts w:hint="eastAsia"/>
        </w:rPr>
      </w:pPr>
      <w:r>
        <w:rPr>
          <w:rFonts w:hint="eastAsia"/>
        </w:rPr>
        <w:t>境外组织（个人）独资或者与境内组织（个人）合资、合作设立的养老机构，应当每年向市民政部门报送年度工作报告。</w:t>
      </w:r>
    </w:p>
    <w:p>
      <w:pPr>
        <w:ind w:firstLine="640" w:firstLineChars="200"/>
        <w:rPr>
          <w:rFonts w:hint="eastAsia"/>
        </w:rPr>
      </w:pPr>
      <w:r>
        <w:rPr>
          <w:rFonts w:hint="eastAsia"/>
        </w:rPr>
        <w:t>年度工作报告应当包括机构服务范围、服务质量、运营管理等情况。</w:t>
      </w:r>
    </w:p>
    <w:p>
      <w:pPr>
        <w:ind w:firstLine="640" w:firstLineChars="200"/>
        <w:rPr>
          <w:rFonts w:hint="eastAsia"/>
        </w:rPr>
      </w:pPr>
      <w:r>
        <w:rPr>
          <w:rFonts w:hint="eastAsia" w:eastAsia="方正黑体_GBK"/>
        </w:rPr>
        <w:t>第五十一条</w:t>
      </w:r>
      <w:r>
        <w:rPr>
          <w:rFonts w:hint="eastAsia"/>
        </w:rPr>
        <w:t xml:space="preserve">  民政部门应当会同人力社保、公安、卫生健康、财政、应急、金融、市场监管等部门定期检查和随机抽查养老机构设施设备、服务质量、安全卫生等情况。</w:t>
      </w:r>
    </w:p>
    <w:p>
      <w:pPr>
        <w:ind w:firstLine="640" w:firstLineChars="200"/>
        <w:rPr>
          <w:rFonts w:hint="eastAsia"/>
        </w:rPr>
      </w:pPr>
      <w:r>
        <w:rPr>
          <w:rFonts w:hint="eastAsia"/>
        </w:rPr>
        <w:t>养老机构应当自觉接受和配合相关部门监督检查。</w:t>
      </w:r>
    </w:p>
    <w:p>
      <w:pPr>
        <w:ind w:firstLine="640" w:firstLineChars="200"/>
        <w:rPr>
          <w:rFonts w:hint="eastAsia"/>
        </w:rPr>
      </w:pPr>
      <w:r>
        <w:rPr>
          <w:rFonts w:hint="eastAsia" w:eastAsia="方正黑体_GBK"/>
        </w:rPr>
        <w:t>第五十二条</w:t>
      </w:r>
      <w:r>
        <w:rPr>
          <w:rFonts w:hint="eastAsia"/>
        </w:rPr>
        <w:t xml:space="preserve">  市民政部门应当建立养老机构评估制度，定期组织有关方面专家及社会人士或者委托第三方机构，对养老机构的人员、设施、服务、信誉、管理等情况进行综合评估。</w:t>
      </w:r>
    </w:p>
    <w:p>
      <w:pPr>
        <w:ind w:firstLine="640" w:firstLineChars="200"/>
        <w:rPr>
          <w:rFonts w:hint="eastAsia"/>
        </w:rPr>
      </w:pPr>
      <w:r>
        <w:rPr>
          <w:rFonts w:hint="eastAsia"/>
        </w:rPr>
        <w:t>综合评估结果应当向社会公布，并作为对养老机构等级划分、补贴资助、考核评价的依据。</w:t>
      </w:r>
    </w:p>
    <w:p>
      <w:pPr>
        <w:ind w:firstLine="640" w:firstLineChars="200"/>
        <w:rPr>
          <w:rFonts w:hint="eastAsia"/>
        </w:rPr>
      </w:pPr>
      <w:r>
        <w:rPr>
          <w:rFonts w:hint="eastAsia" w:eastAsia="方正黑体_GBK"/>
        </w:rPr>
        <w:t>第五十三条</w:t>
      </w:r>
      <w:r>
        <w:rPr>
          <w:rFonts w:hint="eastAsia"/>
        </w:rPr>
        <w:t xml:space="preserve">  民政部门应当定期开展养老机构信息统计工作，养老机构应当及时准确报送相关信息。</w:t>
      </w:r>
    </w:p>
    <w:p>
      <w:pPr>
        <w:ind w:firstLine="640" w:firstLineChars="200"/>
        <w:rPr>
          <w:rFonts w:hint="eastAsia"/>
        </w:rPr>
      </w:pPr>
      <w:r>
        <w:rPr>
          <w:rFonts w:hint="eastAsia" w:eastAsia="方正黑体_GBK"/>
        </w:rPr>
        <w:t>第五十四条</w:t>
      </w:r>
      <w:r>
        <w:rPr>
          <w:rFonts w:hint="eastAsia"/>
        </w:rPr>
        <w:t xml:space="preserve">  民政部门应当建立养老机构诚信档案，记录其设立终止、监督检查、违法行为查处、综合评估等情况。</w:t>
      </w:r>
    </w:p>
    <w:p>
      <w:pPr>
        <w:ind w:firstLine="640" w:firstLineChars="200"/>
        <w:rPr>
          <w:rFonts w:hint="eastAsia"/>
        </w:rPr>
      </w:pPr>
      <w:r>
        <w:rPr>
          <w:rFonts w:hint="eastAsia"/>
        </w:rPr>
        <w:t>对有不良诚信记录的养老机构，应当增加监督检查频次，加强整改指导。</w:t>
      </w:r>
    </w:p>
    <w:p>
      <w:pPr>
        <w:ind w:firstLine="640" w:firstLineChars="200"/>
        <w:rPr>
          <w:rFonts w:hint="eastAsia"/>
        </w:rPr>
      </w:pPr>
      <w:r>
        <w:rPr>
          <w:rFonts w:hint="eastAsia" w:eastAsia="方正黑体_GBK"/>
        </w:rPr>
        <w:t>第五十五条</w:t>
      </w:r>
      <w:r>
        <w:rPr>
          <w:rFonts w:hint="eastAsia"/>
        </w:rPr>
        <w:t xml:space="preserve">  市民政部门应当建立养老机构信息服务平台，并按照规定接入全市政务信息资源共享平台。</w:t>
      </w:r>
    </w:p>
    <w:p>
      <w:pPr>
        <w:ind w:firstLine="640" w:firstLineChars="200"/>
        <w:rPr>
          <w:rFonts w:hint="eastAsia"/>
        </w:rPr>
      </w:pPr>
      <w:r>
        <w:rPr>
          <w:rFonts w:hint="eastAsia"/>
        </w:rPr>
        <w:t>市、区县（自治县）民政部门应当通过养老机构信息服务平台将养老机构设立终止、评估结果、诚信记录、用工需求等相关信息，向社会公布，并提供政策咨询、信息查询等服务。</w:t>
      </w:r>
    </w:p>
    <w:p>
      <w:pPr>
        <w:ind w:firstLine="640" w:firstLineChars="200"/>
        <w:rPr>
          <w:rFonts w:hint="eastAsia"/>
        </w:rPr>
      </w:pPr>
      <w:r>
        <w:rPr>
          <w:rFonts w:hint="eastAsia" w:eastAsia="方正黑体_GBK"/>
        </w:rPr>
        <w:t>第五十六条</w:t>
      </w:r>
      <w:r>
        <w:rPr>
          <w:rFonts w:hint="eastAsia"/>
        </w:rPr>
        <w:t xml:space="preserve">  民政部门应当通过投诉、举报电话或者养老机构信息服务平台等渠道，受理对养老机构的投诉、举报。</w:t>
      </w:r>
    </w:p>
    <w:p>
      <w:pPr>
        <w:ind w:firstLine="640" w:firstLineChars="200"/>
        <w:rPr>
          <w:rFonts w:hint="eastAsia"/>
        </w:rPr>
      </w:pPr>
      <w:r>
        <w:rPr>
          <w:rFonts w:hint="eastAsia"/>
        </w:rPr>
        <w:t>民政部门接到举报、投诉后，应当及时核实、处理。</w:t>
      </w:r>
    </w:p>
    <w:p>
      <w:pPr>
        <w:ind w:firstLine="640" w:firstLineChars="200"/>
      </w:pPr>
    </w:p>
    <w:p>
      <w:pPr>
        <w:jc w:val="center"/>
        <w:rPr>
          <w:rFonts w:hint="eastAsia" w:eastAsia="方正黑体_GBK"/>
        </w:rPr>
      </w:pPr>
      <w:r>
        <w:rPr>
          <w:rFonts w:hint="eastAsia" w:eastAsia="方正黑体_GBK"/>
        </w:rPr>
        <w:t>第七章  法律责任</w:t>
      </w:r>
    </w:p>
    <w:p>
      <w:pPr>
        <w:ind w:firstLine="640" w:firstLineChars="200"/>
      </w:pPr>
    </w:p>
    <w:p>
      <w:pPr>
        <w:ind w:firstLine="640" w:firstLineChars="200"/>
        <w:rPr>
          <w:rFonts w:hint="eastAsia"/>
        </w:rPr>
      </w:pPr>
      <w:r>
        <w:rPr>
          <w:rFonts w:hint="eastAsia" w:eastAsia="方正黑体_GBK"/>
        </w:rPr>
        <w:t>第五十七条</w:t>
      </w:r>
      <w:r>
        <w:rPr>
          <w:rFonts w:hint="eastAsia"/>
        </w:rPr>
        <w:t xml:space="preserve">  违反本办法规定，养老机构擅自暂停、终止服务，或者暂停、终止服务未妥善安置老年人的，由民政部门责令限期改正；逾期未改正的，处1万元以上3万元以下罚款。</w:t>
      </w:r>
    </w:p>
    <w:p>
      <w:pPr>
        <w:ind w:firstLine="640" w:firstLineChars="200"/>
        <w:rPr>
          <w:rFonts w:hint="eastAsia"/>
        </w:rPr>
      </w:pPr>
      <w:r>
        <w:rPr>
          <w:rFonts w:hint="eastAsia" w:eastAsia="方正黑体_GBK"/>
        </w:rPr>
        <w:t>第五十八条</w:t>
      </w:r>
      <w:r>
        <w:rPr>
          <w:rFonts w:hint="eastAsia"/>
        </w:rPr>
        <w:t xml:space="preserve">  违反本办法规定，养老机构有下列行为之一的，由民政部门责令限期改正；逾期未改正的，处2千元以上1万元以下罚款；情节严重的，处1万元以上3万元以下罚款；涉嫌犯罪的，移送司法机关依法追究刑事责任：</w:t>
      </w:r>
    </w:p>
    <w:p>
      <w:pPr>
        <w:ind w:firstLine="640" w:firstLineChars="200"/>
        <w:rPr>
          <w:rFonts w:hint="eastAsia"/>
          <w:spacing w:val="-4"/>
        </w:rPr>
      </w:pPr>
      <w:r>
        <w:rPr>
          <w:rFonts w:hint="eastAsia"/>
        </w:rPr>
        <w:t>（一）</w:t>
      </w:r>
      <w:r>
        <w:rPr>
          <w:rFonts w:hint="eastAsia"/>
          <w:spacing w:val="-6"/>
        </w:rPr>
        <w:t>未与老年人或者其监护人、代理人签订养老服务合同的</w:t>
      </w:r>
      <w:r>
        <w:rPr>
          <w:rFonts w:hint="eastAsia"/>
          <w:spacing w:val="-4"/>
        </w:rPr>
        <w:t>；</w:t>
      </w:r>
    </w:p>
    <w:p>
      <w:pPr>
        <w:ind w:firstLine="640" w:firstLineChars="200"/>
        <w:rPr>
          <w:rFonts w:hint="eastAsia"/>
        </w:rPr>
      </w:pPr>
      <w:r>
        <w:rPr>
          <w:rFonts w:hint="eastAsia"/>
        </w:rPr>
        <w:t>（二）利用养老机构的场所、设施、设备，开展与养老服务宗旨无关活动的；</w:t>
      </w:r>
    </w:p>
    <w:p>
      <w:pPr>
        <w:ind w:firstLine="640" w:firstLineChars="200"/>
        <w:rPr>
          <w:rFonts w:hint="eastAsia"/>
        </w:rPr>
      </w:pPr>
      <w:r>
        <w:rPr>
          <w:rFonts w:hint="eastAsia"/>
        </w:rPr>
        <w:t>（三）未按照国家有关标准和规定开展服务的；</w:t>
      </w:r>
    </w:p>
    <w:p>
      <w:pPr>
        <w:ind w:firstLine="640" w:firstLineChars="200"/>
        <w:rPr>
          <w:rFonts w:hint="eastAsia"/>
        </w:rPr>
      </w:pPr>
      <w:r>
        <w:rPr>
          <w:rFonts w:hint="eastAsia"/>
        </w:rPr>
        <w:t>（四）向民政部门隐瞒有关情况、提供虚假材料或者拒绝提供反映其活动情况真实材料的；</w:t>
      </w:r>
    </w:p>
    <w:p>
      <w:pPr>
        <w:ind w:firstLine="640" w:firstLineChars="200"/>
        <w:rPr>
          <w:rFonts w:hint="eastAsia"/>
        </w:rPr>
      </w:pPr>
      <w:r>
        <w:rPr>
          <w:rFonts w:hint="eastAsia"/>
        </w:rPr>
        <w:t>（五）配备人员的资格不符合规定的；</w:t>
      </w:r>
    </w:p>
    <w:p>
      <w:pPr>
        <w:ind w:firstLine="640" w:firstLineChars="200"/>
        <w:rPr>
          <w:rFonts w:hint="eastAsia"/>
        </w:rPr>
      </w:pPr>
      <w:r>
        <w:rPr>
          <w:rFonts w:hint="eastAsia"/>
        </w:rPr>
        <w:t>（六）安排未取得健康证明的护理人员、餐饮服务人员上岗工作，或者未及时将患有可能影响老年人身体健康疾病的护理人员、餐饮服务人员调离岗位的；</w:t>
      </w:r>
    </w:p>
    <w:p>
      <w:pPr>
        <w:ind w:firstLine="640" w:firstLineChars="200"/>
        <w:rPr>
          <w:rFonts w:hint="eastAsia"/>
        </w:rPr>
      </w:pPr>
      <w:r>
        <w:rPr>
          <w:rFonts w:hint="eastAsia"/>
        </w:rPr>
        <w:t>（七）歧视、侮辱、虐待或者遗弃老年人以及其他侵犯老年人合法权益行为的；</w:t>
      </w:r>
    </w:p>
    <w:p>
      <w:pPr>
        <w:ind w:firstLine="640" w:firstLineChars="200"/>
        <w:rPr>
          <w:rFonts w:hint="eastAsia"/>
        </w:rPr>
      </w:pPr>
      <w:r>
        <w:rPr>
          <w:rFonts w:hint="eastAsia"/>
        </w:rPr>
        <w:t>（八）法律、法规规定的其他违法行为。</w:t>
      </w:r>
    </w:p>
    <w:p>
      <w:pPr>
        <w:ind w:firstLine="640" w:firstLineChars="200"/>
        <w:rPr>
          <w:rFonts w:hint="eastAsia"/>
        </w:rPr>
      </w:pPr>
      <w:r>
        <w:rPr>
          <w:rFonts w:hint="eastAsia"/>
        </w:rPr>
        <w:t>对有前款所列行为之一的养老机构，有关部门有权中止扶持、优惠措施；情节严重的，追回已经发放的补助、补贴和减免的费用。养老机构经整改消除前款所列行为的，可以重新申请相关扶持、优惠措施。</w:t>
      </w:r>
    </w:p>
    <w:p>
      <w:pPr>
        <w:ind w:firstLine="640" w:firstLineChars="200"/>
        <w:rPr>
          <w:rFonts w:hint="eastAsia"/>
        </w:rPr>
      </w:pPr>
      <w:r>
        <w:rPr>
          <w:rFonts w:hint="eastAsia" w:eastAsia="方正黑体_GBK"/>
        </w:rPr>
        <w:t xml:space="preserve">第五十九条 </w:t>
      </w:r>
      <w:r>
        <w:rPr>
          <w:rFonts w:hint="eastAsia"/>
        </w:rPr>
        <w:t xml:space="preserve"> 违反本办法规定，有下列行为之一的，由有关部门责令改正，并依照相关法律、法规规定予以处理：</w:t>
      </w:r>
    </w:p>
    <w:p>
      <w:pPr>
        <w:ind w:firstLine="640" w:firstLineChars="200"/>
        <w:rPr>
          <w:rFonts w:hint="eastAsia"/>
        </w:rPr>
      </w:pPr>
      <w:r>
        <w:rPr>
          <w:rFonts w:hint="eastAsia"/>
        </w:rPr>
        <w:t>（一）新建居住（小）区的建设单位未按照规划和养老服务标准规范配套建设相应养老机构的；</w:t>
      </w:r>
    </w:p>
    <w:p>
      <w:pPr>
        <w:ind w:firstLine="640" w:firstLineChars="200"/>
        <w:rPr>
          <w:rFonts w:hint="eastAsia"/>
        </w:rPr>
      </w:pPr>
      <w:r>
        <w:rPr>
          <w:rFonts w:hint="eastAsia"/>
        </w:rPr>
        <w:t>（二）擅自改变养老机构建设用地用途的；</w:t>
      </w:r>
    </w:p>
    <w:p>
      <w:pPr>
        <w:ind w:firstLine="640" w:firstLineChars="200"/>
        <w:rPr>
          <w:rFonts w:hint="eastAsia"/>
        </w:rPr>
      </w:pPr>
      <w:r>
        <w:rPr>
          <w:rFonts w:hint="eastAsia"/>
        </w:rPr>
        <w:t>（三）侵占、破坏养老机构服务设施的；</w:t>
      </w:r>
    </w:p>
    <w:p>
      <w:pPr>
        <w:ind w:firstLine="640" w:firstLineChars="200"/>
        <w:rPr>
          <w:rFonts w:hint="eastAsia"/>
        </w:rPr>
      </w:pPr>
      <w:r>
        <w:rPr>
          <w:rFonts w:hint="eastAsia"/>
        </w:rPr>
        <w:t>（四）违反规定使用或者骗取有关养老补贴财政资金的；</w:t>
      </w:r>
    </w:p>
    <w:p>
      <w:pPr>
        <w:ind w:firstLine="640" w:firstLineChars="200"/>
        <w:rPr>
          <w:rFonts w:hint="eastAsia"/>
        </w:rPr>
      </w:pPr>
      <w:r>
        <w:rPr>
          <w:rFonts w:hint="eastAsia"/>
        </w:rPr>
        <w:t>（五）法律、法规规定的其他违法行为。</w:t>
      </w:r>
    </w:p>
    <w:p>
      <w:pPr>
        <w:ind w:firstLine="640" w:firstLineChars="200"/>
        <w:rPr>
          <w:rFonts w:hint="eastAsia"/>
        </w:rPr>
      </w:pPr>
      <w:r>
        <w:rPr>
          <w:rFonts w:hint="eastAsia" w:eastAsia="方正黑体_GBK"/>
        </w:rPr>
        <w:t xml:space="preserve">第六十条 </w:t>
      </w:r>
      <w:r>
        <w:rPr>
          <w:rFonts w:hint="eastAsia"/>
        </w:rPr>
        <w:t xml:space="preserve"> 有关部门及其工作人员，在养老机构管理工作中玩忽职守、滥用职权、徇私舞弊的，对直接负责的主管人员和其他直接责任人员依法给予处分；涉嫌犯罪的，移送司法机关依法追究刑事责任。</w:t>
      </w:r>
    </w:p>
    <w:p>
      <w:pPr>
        <w:ind w:firstLine="640" w:firstLineChars="200"/>
      </w:pPr>
    </w:p>
    <w:p>
      <w:pPr>
        <w:jc w:val="center"/>
        <w:rPr>
          <w:rFonts w:hint="eastAsia" w:eastAsia="方正黑体_GBK"/>
        </w:rPr>
      </w:pPr>
      <w:r>
        <w:rPr>
          <w:rFonts w:hint="eastAsia" w:eastAsia="方正黑体_GBK"/>
        </w:rPr>
        <w:t>第八章  附    则</w:t>
      </w:r>
    </w:p>
    <w:p>
      <w:pPr>
        <w:ind w:firstLine="640" w:firstLineChars="200"/>
      </w:pPr>
    </w:p>
    <w:p>
      <w:pPr>
        <w:ind w:firstLine="640" w:firstLineChars="200"/>
        <w:rPr>
          <w:rFonts w:hint="eastAsia"/>
          <w:lang w:val="en-US" w:eastAsia="zh-Hans"/>
        </w:rPr>
      </w:pPr>
      <w:r>
        <w:rPr>
          <w:rFonts w:hint="eastAsia" w:eastAsia="方正黑体_GBK"/>
        </w:rPr>
        <w:t>第六十一条</w:t>
      </w:r>
      <w:r>
        <w:rPr>
          <w:rFonts w:hint="eastAsia"/>
        </w:rPr>
        <w:t xml:space="preserve">  本办法自2019年4月1日起施行。《重庆市城乡养老机构服务管理办法》（重庆市人民政府令第214号）同时废止。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00016" w:usb3="00000000" w:csb0="00040003"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楷体_GB2312">
    <w:altName w:val="汉仪楷体简"/>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703020204020201"/>
    <w:charset w:val="86"/>
    <w:family w:val="auto"/>
    <w:pitch w:val="default"/>
    <w:sig w:usb0="80000287" w:usb1="080F3C52" w:usb2="00000016" w:usb3="00000000" w:csb0="0004001F"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800002BF" w:usb1="38CF7CFA" w:usb2="00000016" w:usb3="00000000" w:csb0="00040000" w:csb1="00000000"/>
  </w:font>
  <w:font w:name="黑体">
    <w:altName w:val="汉仪中黑KW"/>
    <w:panose1 w:val="00000000000000000000"/>
    <w:charset w:val="00"/>
    <w:family w:val="auto"/>
    <w:pitch w:val="default"/>
    <w:sig w:usb0="00000000" w:usb1="00000000" w:usb2="00000000" w:usb3="00000000" w:csb0="00000000" w:csb1="00000000"/>
  </w:font>
  <w:font w:name="FangSong">
    <w:panose1 w:val="02010609060101010101"/>
    <w:charset w:val="86"/>
    <w:family w:val="auto"/>
    <w:pitch w:val="default"/>
    <w:sig w:usb0="800002BF" w:usb1="38CF7CFA"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CIDFont+F1">
    <w:altName w:val="苹方-简"/>
    <w:panose1 w:val="00000000000000000000"/>
    <w:charset w:val="00"/>
    <w:family w:val="auto"/>
    <w:pitch w:val="default"/>
    <w:sig w:usb0="00000000" w:usb1="00000000" w:usb2="00000010" w:usb3="00000000" w:csb0="00040000" w:csb1="00000000"/>
  </w:font>
  <w:font w:name="冬青黑体简体中文">
    <w:panose1 w:val="020B0300000000000000"/>
    <w:charset w:val="86"/>
    <w:family w:val="auto"/>
    <w:pitch w:val="default"/>
    <w:sig w:usb0="A00002BF" w:usb1="1ACF7CFA" w:usb2="00000016" w:usb3="00000000" w:csb0="00060007" w:csb1="00000000"/>
  </w:font>
  <w:font w:name="仿宋_GB2312">
    <w:altName w:val="方正仿宋_GBK"/>
    <w:panose1 w:val="02010609030101010101"/>
    <w:charset w:val="00"/>
    <w:family w:val="modern"/>
    <w:pitch w:val="default"/>
    <w:sig w:usb0="00000000" w:usb1="00000000" w:usb2="00000000" w:usb3="00000000" w:csb0="00040000" w:csb1="00000000"/>
  </w:font>
  <w:font w:name="Hiragino Sans GB W3">
    <w:panose1 w:val="020B0300000000000000"/>
    <w:charset w:val="86"/>
    <w:family w:val="auto"/>
    <w:pitch w:val="default"/>
    <w:sig w:usb0="A00002BF" w:usb1="1ACF7CFA" w:usb2="00000016" w:usb3="00000000" w:csb0="00060007" w:csb1="00000000"/>
  </w:font>
  <w:font w:name="Liberation Sans">
    <w:altName w:val="苹方-简"/>
    <w:panose1 w:val="00000000000000000000"/>
    <w:charset w:val="00"/>
    <w:family w:val="swiss"/>
    <w:pitch w:val="default"/>
    <w:sig w:usb0="00000000" w:usb1="00000000" w:usb2="00000000" w:usb3="00000000" w:csb0="00040001" w:csb1="00000000"/>
  </w:font>
  <w:font w:name="Noto Sans CJK SC Regular">
    <w:altName w:val="苹方-简"/>
    <w:panose1 w:val="020B0500000000000000"/>
    <w:charset w:val="00"/>
    <w:family w:val="auto"/>
    <w:pitch w:val="default"/>
    <w:sig w:usb0="00000000" w:usb1="00000000" w:usb2="00000016" w:usb3="00000000" w:csb0="602E0107" w:csb1="00000000"/>
  </w:font>
  <w:font w:name="方正小标宋简体">
    <w:altName w:val="方正小标宋_GBK"/>
    <w:panose1 w:val="02000000000000000000"/>
    <w:charset w:val="00"/>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方正兰亭粗黑_GBK">
    <w:altName w:val="冬青黑体简体中文"/>
    <w:panose1 w:val="02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CIDFont">
    <w:altName w:val="苹方-简"/>
    <w:panose1 w:val="00000000000000000000"/>
    <w:charset w:val="00"/>
    <w:family w:val="auto"/>
    <w:pitch w:val="default"/>
    <w:sig w:usb0="00000000" w:usb1="00000000" w:usb2="00000000" w:usb3="00000000" w:csb0="00000000" w:csb1="00000000"/>
  </w:font>
  <w:font w:name="Courier New">
    <w:panose1 w:val="02070609020205090404"/>
    <w:charset w:val="00"/>
    <w:family w:val="modern"/>
    <w:pitch w:val="default"/>
    <w:sig w:usb0="E0000AFF" w:usb1="40007843" w:usb2="00000001" w:usb3="00000000" w:csb0="400001BF" w:csb1="DFF70000"/>
  </w:font>
  <w:font w:name="经典粗宋简">
    <w:altName w:val="苹方-简"/>
    <w:panose1 w:val="02010609000101010101"/>
    <w:charset w:val="00"/>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w:altName w:val="苹方-简"/>
    <w:panose1 w:val="02070409020205020404"/>
    <w:charset w:val="00"/>
    <w:family w:val="modern"/>
    <w:pitch w:val="default"/>
    <w:sig w:usb0="00000000" w:usb1="00000000" w:usb2="00000000" w:usb3="00000000" w:csb0="00000001" w:csb1="00000000"/>
  </w:font>
  <w:font w:name="方正仿宋">
    <w:altName w:val="苹方-简"/>
    <w:panose1 w:val="03000509000000000000"/>
    <w:charset w:val="00"/>
    <w:family w:val="script"/>
    <w:pitch w:val="default"/>
    <w:sig w:usb0="00000000" w:usb1="00000000" w:usb2="00000010" w:usb3="00000000" w:csb0="00040000" w:csb1="00000000"/>
  </w:font>
  <w:font w:name="方正粗圆简体">
    <w:altName w:val="苹方-简"/>
    <w:panose1 w:val="03000509000000000000"/>
    <w:charset w:val="00"/>
    <w:family w:val="script"/>
    <w:pitch w:val="default"/>
    <w:sig w:usb0="00000000" w:usb1="00000000" w:usb2="00000010" w:usb3="00000000" w:csb0="00040000" w:csb1="00000000"/>
  </w:font>
  <w:font w:name="Times">
    <w:panose1 w:val="00000500000000020000"/>
    <w:charset w:val="00"/>
    <w:family w:val="roman"/>
    <w:pitch w:val="default"/>
    <w:sig w:usb0="E00002FF" w:usb1="5000205A" w:usb2="00000000" w:usb3="00000000" w:csb0="2000019F" w:csb1="4F010000"/>
  </w:font>
  <w:font w:name="ˎ̥">
    <w:altName w:val="苹方-简"/>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7296" w:leftChars="2280" w:firstLine="6400" w:firstLineChars="2000"/>
      <w:jc w:val="right"/>
      <w:rPr>
        <w:rFonts w:hint="default" w:eastAsia="仿宋"/>
        <w:color w:val="FAFAFA"/>
        <w:sz w:val="32"/>
        <w:szCs w:val="48"/>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200025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5.75pt;height:0.15pt;width:442.25pt;z-index:251661312;mso-width-relative:page;mso-height-relative:page;" filled="f" stroked="t" coordsize="21600,21600" o:gfxdata="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kmaL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p>
  <w:p>
    <w:pPr>
      <w:pStyle w:val="6"/>
      <w:wordWrap w:val="0"/>
      <w:jc w:val="both"/>
      <w:rPr>
        <w:rFonts w:hint="eastAsia" w:ascii="宋体" w:hAnsi="宋体" w:eastAsia="宋体" w:cs="宋体"/>
        <w:b/>
        <w:bCs/>
        <w:color w:val="005192"/>
        <w:sz w:val="28"/>
        <w:szCs w:val="44"/>
        <w:lang w:val="en-US" w:eastAsia="zh-CN"/>
      </w:rPr>
    </w:pPr>
    <w:r>
      <w:rPr>
        <w:rFonts w:hint="default" w:eastAsia="仿宋"/>
        <w:color w:val="FAFAFA"/>
        <w:sz w:val="32"/>
        <w:szCs w:val="48"/>
        <w:lang w:eastAsia="zh-CN"/>
      </w:rPr>
      <w:t xml:space="preserve">                                   </w:t>
    </w:r>
    <w:r>
      <w:rPr>
        <w:rFonts w:hint="eastAsia" w:ascii="宋体" w:hAnsi="宋体" w:eastAsia="宋体" w:cs="宋体"/>
        <w:b/>
        <w:bCs/>
        <w:color w:val="005192"/>
        <w:sz w:val="28"/>
        <w:szCs w:val="44"/>
        <w:lang w:val="en-US" w:eastAsia="zh-Hans"/>
      </w:rPr>
      <w:t>重庆市人民政府</w:t>
    </w:r>
    <w:r>
      <w:rPr>
        <w:rFonts w:hint="eastAsia" w:ascii="宋体" w:hAnsi="宋体" w:eastAsia="宋体" w:cs="宋体"/>
        <w:b/>
        <w:bCs/>
        <w:color w:val="005192"/>
        <w:sz w:val="28"/>
        <w:szCs w:val="44"/>
        <w:lang w:val="en-US" w:eastAsia="zh-CN"/>
      </w:rPr>
      <w:t xml:space="preserve">发布  </w:t>
    </w:r>
  </w:p>
  <w:p>
    <w:pPr>
      <w:pStyle w:val="6"/>
      <w:wordWrap w:val="0"/>
      <w:ind w:left="7296"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F790A02"/>
    <w:rsid w:val="152D2DCA"/>
    <w:rsid w:val="1BE95D8E"/>
    <w:rsid w:val="1DEC284C"/>
    <w:rsid w:val="1DFF25FD"/>
    <w:rsid w:val="1E6523AC"/>
    <w:rsid w:val="1FFD3AC4"/>
    <w:rsid w:val="22440422"/>
    <w:rsid w:val="2E7F4AD2"/>
    <w:rsid w:val="2FF12FC1"/>
    <w:rsid w:val="2FF92594"/>
    <w:rsid w:val="31A15F24"/>
    <w:rsid w:val="395347B5"/>
    <w:rsid w:val="39A232A0"/>
    <w:rsid w:val="39E745AA"/>
    <w:rsid w:val="3B5A6BBB"/>
    <w:rsid w:val="3DFF9C5F"/>
    <w:rsid w:val="3EDA13A6"/>
    <w:rsid w:val="3FDF824B"/>
    <w:rsid w:val="3FFC9C3C"/>
    <w:rsid w:val="3FFD2324"/>
    <w:rsid w:val="42F058B7"/>
    <w:rsid w:val="436109F6"/>
    <w:rsid w:val="441A38D4"/>
    <w:rsid w:val="455F8697"/>
    <w:rsid w:val="4B4F8AB0"/>
    <w:rsid w:val="4BC77339"/>
    <w:rsid w:val="4C9236C5"/>
    <w:rsid w:val="4D1E35BA"/>
    <w:rsid w:val="505C172E"/>
    <w:rsid w:val="52F46F0B"/>
    <w:rsid w:val="53B77813"/>
    <w:rsid w:val="53D8014D"/>
    <w:rsid w:val="55E064E0"/>
    <w:rsid w:val="572C6D10"/>
    <w:rsid w:val="5BBD63EC"/>
    <w:rsid w:val="5BCF8EE0"/>
    <w:rsid w:val="5BFBF060"/>
    <w:rsid w:val="5D9F8EB6"/>
    <w:rsid w:val="5DC34279"/>
    <w:rsid w:val="5DF62015"/>
    <w:rsid w:val="5DFED198"/>
    <w:rsid w:val="5FB486A7"/>
    <w:rsid w:val="608816D1"/>
    <w:rsid w:val="60EF4E7F"/>
    <w:rsid w:val="61FF3ECA"/>
    <w:rsid w:val="665233C1"/>
    <w:rsid w:val="68D78824"/>
    <w:rsid w:val="69FF41AF"/>
    <w:rsid w:val="6AD9688B"/>
    <w:rsid w:val="6CEF9AB1"/>
    <w:rsid w:val="6D0E3F22"/>
    <w:rsid w:val="6DDBD116"/>
    <w:rsid w:val="6F7B0A31"/>
    <w:rsid w:val="6F9FF162"/>
    <w:rsid w:val="6FBE16AF"/>
    <w:rsid w:val="6FBFBE56"/>
    <w:rsid w:val="73FF1044"/>
    <w:rsid w:val="75E44AA0"/>
    <w:rsid w:val="75EF390C"/>
    <w:rsid w:val="77C6DE7E"/>
    <w:rsid w:val="77EF60DC"/>
    <w:rsid w:val="77EFCED2"/>
    <w:rsid w:val="7BBCE506"/>
    <w:rsid w:val="7BEED10C"/>
    <w:rsid w:val="7BFD0539"/>
    <w:rsid w:val="7C9011D9"/>
    <w:rsid w:val="7DC651C5"/>
    <w:rsid w:val="7E139516"/>
    <w:rsid w:val="7EF2C4F0"/>
    <w:rsid w:val="7EFA9E42"/>
    <w:rsid w:val="7F473314"/>
    <w:rsid w:val="7F7E63E1"/>
    <w:rsid w:val="7FB715E1"/>
    <w:rsid w:val="7FCC2834"/>
    <w:rsid w:val="97FACCB9"/>
    <w:rsid w:val="9BEF3C57"/>
    <w:rsid w:val="9BFFFA77"/>
    <w:rsid w:val="9DFFD061"/>
    <w:rsid w:val="ADFD857C"/>
    <w:rsid w:val="AF5F8A31"/>
    <w:rsid w:val="AFBF526A"/>
    <w:rsid w:val="B17FFAF4"/>
    <w:rsid w:val="B57EB02E"/>
    <w:rsid w:val="BD5F9AFA"/>
    <w:rsid w:val="BDA322E3"/>
    <w:rsid w:val="BF6FCB81"/>
    <w:rsid w:val="C71BE71F"/>
    <w:rsid w:val="CFDF6A9A"/>
    <w:rsid w:val="D2DF3D07"/>
    <w:rsid w:val="DD4B4B61"/>
    <w:rsid w:val="DFBEEE99"/>
    <w:rsid w:val="DFFE3DC9"/>
    <w:rsid w:val="E3F332D7"/>
    <w:rsid w:val="EEBF2027"/>
    <w:rsid w:val="F0DD75FE"/>
    <w:rsid w:val="F3B26D03"/>
    <w:rsid w:val="F6DF2646"/>
    <w:rsid w:val="F798FBD9"/>
    <w:rsid w:val="F7B610CF"/>
    <w:rsid w:val="F7EBAE01"/>
    <w:rsid w:val="F7F9F952"/>
    <w:rsid w:val="F7FD96B7"/>
    <w:rsid w:val="F7FDF024"/>
    <w:rsid w:val="F7FFDC3E"/>
    <w:rsid w:val="F8BFE8D7"/>
    <w:rsid w:val="FA2DBE84"/>
    <w:rsid w:val="FAC5E9AB"/>
    <w:rsid w:val="FB83598B"/>
    <w:rsid w:val="FBE69F88"/>
    <w:rsid w:val="FC5BB7E4"/>
    <w:rsid w:val="FEBF00A7"/>
    <w:rsid w:val="FF860877"/>
    <w:rsid w:val="FFB7AE5D"/>
    <w:rsid w:val="FFBD9641"/>
    <w:rsid w:val="FFCFDCC3"/>
    <w:rsid w:val="FFF31001"/>
    <w:rsid w:val="FFFD0970"/>
    <w:rsid w:val="FFFF09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qFormat/>
    <w:uiPriority w:val="0"/>
    <w:pPr>
      <w:spacing w:before="49"/>
      <w:ind w:left="2147" w:right="2252"/>
      <w:jc w:val="center"/>
      <w:outlineLvl w:val="0"/>
    </w:pPr>
    <w:rPr>
      <w:rFonts w:ascii="宋体" w:hAnsi="宋体" w:eastAsia="宋体" w:cs="宋体"/>
      <w:sz w:val="36"/>
      <w:szCs w:val="36"/>
      <w:lang w:val="en-US" w:eastAsia="zh-CN" w:bidi="ar-SA"/>
    </w:rPr>
  </w:style>
  <w:style w:type="character" w:default="1" w:styleId="8">
    <w:name w:val="Default Paragraph Font"/>
    <w:link w:val="9"/>
    <w:qFormat/>
    <w:uiPriority w:val="0"/>
    <w:rPr>
      <w:rFonts w:eastAsia="仿宋_GB2312"/>
      <w:sz w:val="24"/>
      <w:szCs w:val="32"/>
    </w:rPr>
  </w:style>
  <w:style w:type="table" w:default="1" w:styleId="13">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ind w:left="119"/>
    </w:pPr>
    <w:rPr>
      <w:rFonts w:ascii="宋体" w:hAnsi="宋体" w:eastAsia="宋体" w:cs="宋体"/>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 Char Char Char Char Char Char Char Char"/>
    <w:basedOn w:val="1"/>
    <w:link w:val="8"/>
    <w:qFormat/>
    <w:uiPriority w:val="0"/>
    <w:pPr>
      <w:tabs>
        <w:tab w:val="left" w:pos="360"/>
      </w:tabs>
    </w:pPr>
    <w:rPr>
      <w:rFonts w:eastAsia="仿宋_GB2312"/>
      <w:sz w:val="24"/>
      <w:szCs w:val="32"/>
    </w:rPr>
  </w:style>
  <w:style w:type="character" w:styleId="10">
    <w:name w:val="Strong"/>
    <w:basedOn w:val="8"/>
    <w:qFormat/>
    <w:uiPriority w:val="0"/>
    <w:rPr>
      <w:b/>
      <w:bCs/>
    </w:rPr>
  </w:style>
  <w:style w:type="character" w:styleId="11">
    <w:name w:val="page number"/>
    <w:basedOn w:val="8"/>
    <w:qFormat/>
    <w:uiPriority w:val="0"/>
  </w:style>
  <w:style w:type="character" w:styleId="12">
    <w:name w:val="Hyperlink"/>
    <w:basedOn w:val="8"/>
    <w:qFormat/>
    <w:uiPriority w:val="0"/>
    <w:rPr>
      <w:color w:val="0000FF"/>
      <w:u w:val="single"/>
    </w:rPr>
  </w:style>
  <w:style w:type="paragraph" w:customStyle="1" w:styleId="14">
    <w:name w:val="Char"/>
    <w:basedOn w:val="1"/>
    <w:link w:val="8"/>
    <w:semiHidden/>
    <w:qFormat/>
    <w:uiPriority w:val="0"/>
    <w:rPr>
      <w:rFonts w:eastAsia="宋体"/>
      <w:sz w:val="21"/>
      <w:szCs w:val="24"/>
    </w:rPr>
  </w:style>
  <w:style w:type="character" w:customStyle="1" w:styleId="15">
    <w:name w:val="headline-content2"/>
    <w:basedOn w:val="8"/>
    <w:qFormat/>
    <w:uiPriority w:val="0"/>
  </w:style>
  <w:style w:type="paragraph" w:customStyle="1" w:styleId="16">
    <w:name w:val="Heading 1"/>
    <w:basedOn w:val="1"/>
    <w:qFormat/>
    <w:uiPriority w:val="1"/>
    <w:pPr>
      <w:spacing w:before="1"/>
      <w:ind w:left="2327" w:right="2432"/>
      <w:jc w:val="center"/>
      <w:outlineLvl w:val="1"/>
    </w:pPr>
    <w:rPr>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xushenxian</cp:lastModifiedBy>
  <cp:lastPrinted>2021-10-29T11:30:00Z</cp:lastPrinted>
  <dcterms:modified xsi:type="dcterms:W3CDTF">2021-12-06T10:50:31Z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48C61CB29D3F4D9384F5922CF0F7FFB4</vt:lpwstr>
  </property>
</Properties>
</file>