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eastAsia="仿宋_GB2312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仿宋_GB2312"/>
          <w:sz w:val="28"/>
          <w:szCs w:val="28"/>
        </w:rPr>
      </w:pPr>
    </w:p>
    <w:p>
      <w:pPr>
        <w:snapToGrid w:val="0"/>
        <w:spacing w:line="578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渝民</w:t>
      </w:r>
      <w:r>
        <w:rPr>
          <w:rFonts w:hint="eastAsia" w:eastAsia="方正仿宋_GBK"/>
          <w:sz w:val="32"/>
          <w:szCs w:val="32"/>
        </w:rPr>
        <w:t>函</w:t>
      </w:r>
      <w:r>
        <w:rPr>
          <w:rFonts w:eastAsia="方正仿宋_GBK"/>
          <w:sz w:val="32"/>
          <w:szCs w:val="32"/>
        </w:rPr>
        <w:t>〔20</w:t>
      </w:r>
      <w:r>
        <w:rPr>
          <w:rFonts w:hint="eastAsia" w:eastAsia="方正仿宋_GBK"/>
          <w:sz w:val="32"/>
          <w:szCs w:val="32"/>
        </w:rPr>
        <w:t>22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</w:rPr>
        <w:t>237</w:t>
      </w:r>
      <w:r>
        <w:rPr>
          <w:rFonts w:eastAsia="方正仿宋_GBK"/>
          <w:sz w:val="32"/>
          <w:szCs w:val="32"/>
        </w:rPr>
        <w:t>号</w:t>
      </w:r>
    </w:p>
    <w:p>
      <w:pPr>
        <w:snapToGrid w:val="0"/>
        <w:spacing w:line="578" w:lineRule="exact"/>
        <w:jc w:val="center"/>
        <w:rPr>
          <w:rFonts w:eastAsia="仿宋_GB2312"/>
          <w:sz w:val="32"/>
          <w:szCs w:val="32"/>
        </w:rPr>
      </w:pPr>
    </w:p>
    <w:p>
      <w:pPr>
        <w:snapToGrid w:val="0"/>
        <w:spacing w:line="578" w:lineRule="exact"/>
        <w:jc w:val="center"/>
        <w:rPr>
          <w:rFonts w:eastAsia="仿宋_GB2312"/>
          <w:sz w:val="32"/>
          <w:szCs w:val="32"/>
        </w:rPr>
      </w:pPr>
    </w:p>
    <w:p>
      <w:pPr>
        <w:overflowPunct w:val="0"/>
        <w:snapToGrid w:val="0"/>
        <w:spacing w:line="550" w:lineRule="exact"/>
        <w:jc w:val="center"/>
        <w:rPr>
          <w:rFonts w:eastAsia="方正小标宋_GBK"/>
          <w:kern w:val="32"/>
          <w:sz w:val="44"/>
          <w:szCs w:val="44"/>
        </w:rPr>
      </w:pPr>
      <w:r>
        <w:rPr>
          <w:rFonts w:eastAsia="方正小标宋_GBK"/>
          <w:kern w:val="32"/>
          <w:sz w:val="44"/>
          <w:szCs w:val="44"/>
        </w:rPr>
        <w:t>重庆市民政局</w:t>
      </w:r>
    </w:p>
    <w:p>
      <w:pPr>
        <w:overflowPunct w:val="0"/>
        <w:snapToGrid w:val="0"/>
        <w:spacing w:line="550" w:lineRule="exact"/>
        <w:jc w:val="center"/>
        <w:rPr>
          <w:rStyle w:val="8"/>
          <w:rFonts w:eastAsia="方正小标宋_GBK"/>
          <w:b w:val="0"/>
          <w:kern w:val="32"/>
          <w:sz w:val="44"/>
          <w:szCs w:val="44"/>
        </w:rPr>
      </w:pPr>
      <w:r>
        <w:rPr>
          <w:rStyle w:val="8"/>
          <w:rFonts w:eastAsia="方正小标宋_GBK"/>
          <w:b w:val="0"/>
          <w:kern w:val="32"/>
          <w:sz w:val="44"/>
          <w:szCs w:val="44"/>
        </w:rPr>
        <w:t>关于开展全市性民办非企业单位</w:t>
      </w:r>
    </w:p>
    <w:p>
      <w:pPr>
        <w:overflowPunct w:val="0"/>
        <w:snapToGrid w:val="0"/>
        <w:spacing w:line="550" w:lineRule="exact"/>
        <w:jc w:val="center"/>
        <w:rPr>
          <w:rStyle w:val="8"/>
          <w:rFonts w:eastAsia="方正小标宋_GBK"/>
          <w:b w:val="0"/>
          <w:bCs w:val="0"/>
          <w:kern w:val="32"/>
          <w:sz w:val="44"/>
          <w:szCs w:val="44"/>
        </w:rPr>
      </w:pPr>
      <w:r>
        <w:rPr>
          <w:rStyle w:val="8"/>
          <w:rFonts w:eastAsia="方正小标宋_GBK"/>
          <w:b w:val="0"/>
          <w:kern w:val="32"/>
          <w:sz w:val="44"/>
          <w:szCs w:val="44"/>
        </w:rPr>
        <w:t>20</w:t>
      </w:r>
      <w:r>
        <w:rPr>
          <w:rStyle w:val="8"/>
          <w:rFonts w:hint="eastAsia" w:eastAsia="方正小标宋_GBK"/>
          <w:b w:val="0"/>
          <w:kern w:val="32"/>
          <w:sz w:val="44"/>
          <w:szCs w:val="44"/>
        </w:rPr>
        <w:t>21</w:t>
      </w:r>
      <w:r>
        <w:rPr>
          <w:rStyle w:val="8"/>
          <w:rFonts w:eastAsia="方正小标宋_GBK"/>
          <w:b w:val="0"/>
          <w:kern w:val="32"/>
          <w:sz w:val="44"/>
          <w:szCs w:val="44"/>
        </w:rPr>
        <w:t>年度检查工作的通知</w:t>
      </w:r>
    </w:p>
    <w:p>
      <w:pPr>
        <w:overflowPunct w:val="0"/>
        <w:snapToGrid w:val="0"/>
        <w:spacing w:line="550" w:lineRule="exact"/>
        <w:rPr>
          <w:rStyle w:val="8"/>
          <w:rFonts w:eastAsia="方正仿宋_GBK"/>
          <w:b w:val="0"/>
          <w:kern w:val="32"/>
          <w:sz w:val="28"/>
          <w:szCs w:val="33"/>
        </w:rPr>
      </w:pPr>
    </w:p>
    <w:p>
      <w:pPr>
        <w:overflowPunct w:val="0"/>
        <w:snapToGrid w:val="0"/>
        <w:spacing w:line="550" w:lineRule="exact"/>
        <w:rPr>
          <w:rFonts w:eastAsia="方正仿宋_GBK"/>
          <w:color w:val="000000"/>
          <w:kern w:val="32"/>
          <w:sz w:val="32"/>
          <w:szCs w:val="21"/>
        </w:rPr>
      </w:pPr>
      <w:r>
        <w:rPr>
          <w:rFonts w:hint="eastAsia" w:eastAsia="方正仿宋_GBK"/>
          <w:color w:val="000000"/>
          <w:kern w:val="32"/>
          <w:sz w:val="32"/>
          <w:szCs w:val="21"/>
        </w:rPr>
        <w:t>各全市性民办非企业单位业务主管单位，</w:t>
      </w:r>
      <w:r>
        <w:rPr>
          <w:rFonts w:eastAsia="方正仿宋_GBK"/>
          <w:color w:val="000000"/>
          <w:kern w:val="32"/>
          <w:sz w:val="32"/>
          <w:szCs w:val="21"/>
        </w:rPr>
        <w:t xml:space="preserve">各全市性民办非企业单位： 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根据国务院《民办非企业单位登记管理暂行条例》和民政部《民办非企业单位年度检查办法》规定，我局将对全市性民办非企业单位实施20</w:t>
      </w:r>
      <w:r>
        <w:rPr>
          <w:rFonts w:hint="eastAsia" w:eastAsia="方正仿宋_GBK"/>
          <w:color w:val="000000"/>
          <w:kern w:val="32"/>
          <w:sz w:val="32"/>
          <w:szCs w:val="32"/>
        </w:rPr>
        <w:t>21</w:t>
      </w:r>
      <w:r>
        <w:rPr>
          <w:rFonts w:eastAsia="方正仿宋_GBK"/>
          <w:color w:val="000000"/>
          <w:kern w:val="32"/>
          <w:sz w:val="32"/>
          <w:szCs w:val="32"/>
        </w:rPr>
        <w:t>年度检查（以下简称年检）</w:t>
      </w:r>
      <w:r>
        <w:rPr>
          <w:rFonts w:hint="eastAsia" w:eastAsia="方正仿宋_GBK"/>
          <w:color w:val="000000"/>
          <w:kern w:val="32"/>
          <w:sz w:val="32"/>
          <w:szCs w:val="32"/>
        </w:rPr>
        <w:t>。</w:t>
      </w:r>
      <w:r>
        <w:rPr>
          <w:rFonts w:eastAsia="方正仿宋_GBK"/>
          <w:color w:val="000000"/>
          <w:kern w:val="32"/>
          <w:sz w:val="32"/>
          <w:szCs w:val="32"/>
        </w:rPr>
        <w:t xml:space="preserve">现将有关事项通知如下： 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 xml:space="preserve">一、年检对象 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20</w:t>
      </w:r>
      <w:r>
        <w:rPr>
          <w:rFonts w:hint="eastAsia" w:eastAsia="方正仿宋_GBK"/>
          <w:color w:val="000000"/>
          <w:kern w:val="32"/>
          <w:sz w:val="32"/>
          <w:szCs w:val="32"/>
        </w:rPr>
        <w:t>21</w:t>
      </w:r>
      <w:r>
        <w:rPr>
          <w:rFonts w:eastAsia="方正仿宋_GBK"/>
          <w:color w:val="000000"/>
          <w:kern w:val="32"/>
          <w:sz w:val="32"/>
          <w:szCs w:val="32"/>
        </w:rPr>
        <w:t>年6月30日</w:t>
      </w:r>
      <w:r>
        <w:rPr>
          <w:rFonts w:hint="eastAsia" w:eastAsia="方正仿宋_GBK"/>
          <w:color w:val="000000"/>
          <w:kern w:val="32"/>
          <w:sz w:val="32"/>
          <w:szCs w:val="32"/>
        </w:rPr>
        <w:t>前</w:t>
      </w:r>
      <w:r>
        <w:rPr>
          <w:rFonts w:eastAsia="方正仿宋_GBK"/>
          <w:color w:val="000000"/>
          <w:kern w:val="32"/>
          <w:sz w:val="32"/>
          <w:szCs w:val="32"/>
        </w:rPr>
        <w:t>经市民政局依法登记的民办非企业单位。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 xml:space="preserve">二、年检主要内容 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</w:rPr>
      </w:pPr>
      <w:r>
        <w:rPr>
          <w:rFonts w:eastAsia="方正仿宋_GBK"/>
          <w:color w:val="000000"/>
          <w:kern w:val="32"/>
          <w:sz w:val="32"/>
        </w:rPr>
        <w:t>主要是对</w:t>
      </w:r>
      <w:r>
        <w:rPr>
          <w:rFonts w:hint="eastAsia" w:eastAsia="方正仿宋_GBK"/>
          <w:color w:val="000000"/>
          <w:kern w:val="32"/>
          <w:sz w:val="32"/>
        </w:rPr>
        <w:t>全市性</w:t>
      </w:r>
      <w:r>
        <w:rPr>
          <w:rFonts w:eastAsia="方正仿宋_GBK"/>
          <w:color w:val="000000"/>
          <w:kern w:val="32"/>
          <w:sz w:val="32"/>
        </w:rPr>
        <w:t>民办非企业单位</w:t>
      </w:r>
      <w:r>
        <w:rPr>
          <w:rFonts w:hint="eastAsia" w:eastAsia="方正仿宋_GBK"/>
          <w:color w:val="000000"/>
          <w:kern w:val="32"/>
          <w:sz w:val="32"/>
        </w:rPr>
        <w:t>2021</w:t>
      </w:r>
      <w:r>
        <w:rPr>
          <w:rFonts w:eastAsia="方正仿宋_GBK"/>
          <w:color w:val="000000"/>
          <w:kern w:val="32"/>
          <w:sz w:val="32"/>
        </w:rPr>
        <w:t>年度遵守宪法和法规政策、党建工作</w:t>
      </w:r>
      <w:r>
        <w:rPr>
          <w:rFonts w:hint="eastAsia" w:eastAsia="方正仿宋_GBK"/>
          <w:color w:val="000000"/>
          <w:kern w:val="32"/>
          <w:sz w:val="32"/>
        </w:rPr>
        <w:t>、</w:t>
      </w:r>
      <w:r>
        <w:rPr>
          <w:rFonts w:eastAsia="方正仿宋_GBK"/>
          <w:color w:val="000000"/>
          <w:kern w:val="32"/>
          <w:sz w:val="32"/>
        </w:rPr>
        <w:t>履行法人治</w:t>
      </w:r>
      <w:r>
        <w:rPr>
          <w:rFonts w:hint="eastAsia" w:eastAsia="方正仿宋_GBK"/>
          <w:color w:val="000000"/>
          <w:kern w:val="32"/>
          <w:sz w:val="32"/>
        </w:rPr>
        <w:t>理</w:t>
      </w:r>
      <w:r>
        <w:rPr>
          <w:rFonts w:eastAsia="方正仿宋_GBK"/>
          <w:color w:val="000000"/>
          <w:kern w:val="32"/>
          <w:sz w:val="32"/>
        </w:rPr>
        <w:t>、机构管理、人事和财务管理、业务活动、承接政府职能转移和购买服务、</w:t>
      </w:r>
      <w:r>
        <w:rPr>
          <w:rFonts w:hint="eastAsia" w:eastAsia="方正仿宋_GBK"/>
          <w:color w:val="000000"/>
          <w:kern w:val="32"/>
          <w:sz w:val="32"/>
        </w:rPr>
        <w:t>脱贫攻坚、</w:t>
      </w:r>
      <w:r>
        <w:rPr>
          <w:rFonts w:eastAsia="方正仿宋_GBK"/>
          <w:color w:val="000000"/>
          <w:kern w:val="32"/>
          <w:sz w:val="32"/>
        </w:rPr>
        <w:t>信息公开、涉外活动、</w:t>
      </w:r>
      <w:r>
        <w:rPr>
          <w:rFonts w:hint="eastAsia" w:eastAsia="方正仿宋_GBK"/>
          <w:color w:val="000000"/>
          <w:kern w:val="32"/>
          <w:sz w:val="32"/>
        </w:rPr>
        <w:t>开展生活垃圾分类情况和自身存在的风险隐患及防范化解措施</w:t>
      </w:r>
      <w:r>
        <w:rPr>
          <w:rFonts w:eastAsia="方正仿宋_GBK"/>
          <w:color w:val="000000"/>
          <w:kern w:val="32"/>
          <w:sz w:val="32"/>
        </w:rPr>
        <w:t>等方面事项进行检查，具体内容详见《民办非企业单位年</w:t>
      </w:r>
      <w:r>
        <w:rPr>
          <w:rFonts w:hint="eastAsia" w:eastAsia="方正仿宋_GBK"/>
          <w:color w:val="000000"/>
          <w:kern w:val="32"/>
          <w:sz w:val="32"/>
        </w:rPr>
        <w:t>度工作</w:t>
      </w:r>
      <w:r>
        <w:rPr>
          <w:rFonts w:eastAsia="方正仿宋_GBK"/>
          <w:color w:val="000000"/>
          <w:kern w:val="32"/>
          <w:sz w:val="32"/>
        </w:rPr>
        <w:t>报告书》（以下简称《</w:t>
      </w:r>
      <w:r>
        <w:rPr>
          <w:rFonts w:hint="eastAsia" w:eastAsia="方正仿宋_GBK"/>
          <w:color w:val="000000"/>
          <w:kern w:val="32"/>
          <w:sz w:val="32"/>
        </w:rPr>
        <w:t>工作</w:t>
      </w:r>
      <w:r>
        <w:rPr>
          <w:rFonts w:eastAsia="方正仿宋_GBK"/>
          <w:color w:val="000000"/>
          <w:kern w:val="32"/>
          <w:sz w:val="32"/>
        </w:rPr>
        <w:t>报告书》）。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hint="eastAsia" w:eastAsia="方正黑体_GBK"/>
          <w:color w:val="000000"/>
          <w:kern w:val="32"/>
          <w:sz w:val="32"/>
          <w:szCs w:val="32"/>
        </w:rPr>
        <w:t>三、</w:t>
      </w:r>
      <w:r>
        <w:rPr>
          <w:rFonts w:eastAsia="方正黑体_GBK"/>
          <w:color w:val="000000"/>
          <w:kern w:val="32"/>
          <w:sz w:val="32"/>
          <w:szCs w:val="32"/>
        </w:rPr>
        <w:t>年检时限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自2022年4月25日起至</w:t>
      </w:r>
      <w:r>
        <w:rPr>
          <w:rFonts w:eastAsia="方正仿宋_GBK"/>
          <w:color w:val="000000"/>
          <w:sz w:val="32"/>
          <w:szCs w:val="32"/>
        </w:rPr>
        <w:t>20</w:t>
      </w:r>
      <w:r>
        <w:rPr>
          <w:rFonts w:hint="eastAsia" w:eastAsia="方正仿宋_GBK"/>
          <w:color w:val="000000"/>
          <w:sz w:val="32"/>
          <w:szCs w:val="32"/>
        </w:rPr>
        <w:t>22年7月31日止，为各单位完成网上填报和业务主管单位初审后，向我局报送纸质文本材料的起止时限。超过截止时间网上年检系统将自动关闭，逾期不再受理本次年检。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四、年检应提交的材料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（一）《民办非企业单位</w:t>
      </w:r>
      <w:r>
        <w:rPr>
          <w:rFonts w:eastAsia="方正仿宋_GBK"/>
          <w:kern w:val="32"/>
          <w:sz w:val="32"/>
          <w:szCs w:val="32"/>
        </w:rPr>
        <w:t>年</w:t>
      </w:r>
      <w:r>
        <w:rPr>
          <w:rFonts w:hint="eastAsia" w:eastAsia="方正仿宋_GBK"/>
          <w:kern w:val="32"/>
          <w:sz w:val="32"/>
          <w:szCs w:val="32"/>
        </w:rPr>
        <w:t>度工作</w:t>
      </w:r>
      <w:r>
        <w:rPr>
          <w:rFonts w:eastAsia="方正仿宋_GBK"/>
          <w:kern w:val="32"/>
          <w:sz w:val="32"/>
          <w:szCs w:val="32"/>
        </w:rPr>
        <w:t>报告书</w:t>
      </w:r>
      <w:r>
        <w:rPr>
          <w:rFonts w:eastAsia="方正仿宋_GBK"/>
          <w:color w:val="000000"/>
          <w:kern w:val="32"/>
          <w:sz w:val="32"/>
          <w:szCs w:val="32"/>
        </w:rPr>
        <w:t>》一式三份（ 直接登记的单位一式两份）；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（二）《民办非企业单位登记证书》副本（原件）；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（三）有关</w:t>
      </w:r>
      <w:r>
        <w:rPr>
          <w:rFonts w:eastAsia="方正仿宋_GBK"/>
          <w:color w:val="000000"/>
          <w:kern w:val="32"/>
          <w:sz w:val="32"/>
          <w:szCs w:val="32"/>
        </w:rPr>
        <w:t>民办非企业单位</w:t>
      </w:r>
      <w:r>
        <w:rPr>
          <w:rFonts w:hint="eastAsia" w:eastAsia="方正仿宋_GBK"/>
          <w:color w:val="000000"/>
          <w:kern w:val="32"/>
          <w:sz w:val="32"/>
          <w:szCs w:val="32"/>
        </w:rPr>
        <w:t>须</w:t>
      </w:r>
      <w:r>
        <w:rPr>
          <w:rFonts w:eastAsia="方正仿宋_GBK"/>
          <w:color w:val="000000"/>
          <w:kern w:val="32"/>
          <w:sz w:val="32"/>
          <w:szCs w:val="32"/>
        </w:rPr>
        <w:t>提供有资质的会计师事务所出具的</w:t>
      </w:r>
      <w:r>
        <w:rPr>
          <w:rFonts w:hint="eastAsia" w:eastAsia="方正仿宋_GBK"/>
          <w:color w:val="000000"/>
          <w:kern w:val="32"/>
          <w:sz w:val="32"/>
          <w:szCs w:val="32"/>
        </w:rPr>
        <w:t>相关</w:t>
      </w:r>
      <w:r>
        <w:rPr>
          <w:rFonts w:eastAsia="方正仿宋_GBK"/>
          <w:color w:val="000000"/>
          <w:kern w:val="32"/>
          <w:sz w:val="32"/>
          <w:szCs w:val="32"/>
        </w:rPr>
        <w:t>年度财务审计报告：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1．按照“三年一审计”抽查原则，原登记证书尾号为“3、6、9”的民办非企业单位，须提供2021年度财务审计报告。（其中，获得4A及以上评估等级且在有效期内的民办非企业单位，可免于提交审计报告）。</w:t>
      </w:r>
    </w:p>
    <w:p>
      <w:pPr>
        <w:overflowPunct w:val="0"/>
        <w:snapToGrid w:val="0"/>
        <w:spacing w:line="550" w:lineRule="exact"/>
        <w:ind w:firstLine="645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2．</w:t>
      </w:r>
      <w:r>
        <w:rPr>
          <w:rFonts w:eastAsia="方正仿宋_GBK"/>
          <w:color w:val="000000"/>
          <w:kern w:val="32"/>
          <w:sz w:val="32"/>
          <w:szCs w:val="32"/>
        </w:rPr>
        <w:t>20</w:t>
      </w:r>
      <w:r>
        <w:rPr>
          <w:rFonts w:hint="eastAsia" w:eastAsia="方正仿宋_GBK"/>
          <w:color w:val="000000"/>
          <w:kern w:val="32"/>
          <w:sz w:val="32"/>
          <w:szCs w:val="32"/>
        </w:rPr>
        <w:t>20年度</w:t>
      </w:r>
      <w:r>
        <w:rPr>
          <w:rFonts w:eastAsia="方正仿宋_GBK"/>
          <w:color w:val="000000"/>
          <w:kern w:val="32"/>
          <w:sz w:val="32"/>
          <w:szCs w:val="32"/>
        </w:rPr>
        <w:t>年检结论为</w:t>
      </w:r>
      <w:r>
        <w:rPr>
          <w:rFonts w:hint="eastAsia" w:eastAsia="方正仿宋_GBK"/>
          <w:color w:val="000000"/>
          <w:kern w:val="32"/>
          <w:sz w:val="32"/>
          <w:szCs w:val="32"/>
        </w:rPr>
        <w:t>“</w:t>
      </w:r>
      <w:r>
        <w:rPr>
          <w:rFonts w:hint="eastAsia" w:eastAsia="方正仿宋_GBK"/>
          <w:kern w:val="32"/>
          <w:sz w:val="32"/>
          <w:szCs w:val="32"/>
        </w:rPr>
        <w:t>不合格”</w:t>
      </w:r>
      <w:r>
        <w:rPr>
          <w:rFonts w:eastAsia="方正仿宋_GBK"/>
          <w:kern w:val="32"/>
          <w:sz w:val="32"/>
          <w:szCs w:val="32"/>
        </w:rPr>
        <w:t>的民办非企业单位</w:t>
      </w:r>
      <w:r>
        <w:rPr>
          <w:rFonts w:hint="eastAsia" w:eastAsia="方正仿宋_GBK"/>
          <w:color w:val="000000"/>
          <w:kern w:val="32"/>
          <w:sz w:val="32"/>
          <w:szCs w:val="32"/>
        </w:rPr>
        <w:t>，须提交2021年度财务审计报告。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3．</w:t>
      </w:r>
      <w:r>
        <w:rPr>
          <w:rFonts w:eastAsia="方正仿宋_GBK"/>
          <w:kern w:val="32"/>
          <w:sz w:val="32"/>
          <w:szCs w:val="32"/>
        </w:rPr>
        <w:t>20</w:t>
      </w:r>
      <w:r>
        <w:rPr>
          <w:rFonts w:hint="eastAsia" w:eastAsia="方正仿宋_GBK"/>
          <w:kern w:val="32"/>
          <w:sz w:val="32"/>
          <w:szCs w:val="32"/>
        </w:rPr>
        <w:t>20年度应参加而</w:t>
      </w:r>
      <w:r>
        <w:rPr>
          <w:rFonts w:eastAsia="方正仿宋_GBK"/>
          <w:kern w:val="32"/>
          <w:sz w:val="32"/>
          <w:szCs w:val="32"/>
        </w:rPr>
        <w:t>未参加年检</w:t>
      </w:r>
      <w:r>
        <w:rPr>
          <w:rFonts w:hint="eastAsia" w:eastAsia="方正仿宋_GBK"/>
          <w:kern w:val="32"/>
          <w:sz w:val="32"/>
          <w:szCs w:val="32"/>
        </w:rPr>
        <w:t xml:space="preserve">的民办非企业单位须提供2020—2021年度审计报告。 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（四）现有民办学校提交办学属性选择的书面材料。按照《重庆市人民政府关于进一步促进民办教育健康发展的实施意见》（渝府发〔2018〕19号）要求，于2016年11月7日前经市民政局登记的，市教育委员会、市人力资源和社会保障局作业务主管单位的民办学校，必须于2022年9月1日前完成分类登记，即由现非营利性民办学校自愿选择为营利性民办学校，逾期未办理的民办学校将按法人原属性确定。因此，现有民办学校在本次年检时须提交学校办学属性选择的书面材料。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</w:t>
      </w:r>
      <w:r>
        <w:rPr>
          <w:rFonts w:hint="eastAsia" w:eastAsia="方正仿宋_GBK"/>
          <w:color w:val="000000"/>
          <w:kern w:val="32"/>
          <w:sz w:val="32"/>
          <w:szCs w:val="32"/>
        </w:rPr>
        <w:t>五</w:t>
      </w:r>
      <w:r>
        <w:rPr>
          <w:rFonts w:eastAsia="方正仿宋_GBK"/>
          <w:color w:val="000000"/>
          <w:kern w:val="32"/>
          <w:sz w:val="32"/>
          <w:szCs w:val="32"/>
        </w:rPr>
        <w:t>）</w:t>
      </w:r>
      <w:r>
        <w:rPr>
          <w:rFonts w:hint="eastAsia" w:eastAsia="方正仿宋_GBK"/>
          <w:color w:val="000000"/>
          <w:kern w:val="32"/>
          <w:sz w:val="32"/>
          <w:szCs w:val="32"/>
        </w:rPr>
        <w:t>登记管理机关要求提交的其他补充说明</w:t>
      </w:r>
      <w:r>
        <w:rPr>
          <w:rFonts w:eastAsia="方正仿宋_GBK"/>
          <w:color w:val="000000"/>
          <w:kern w:val="32"/>
          <w:sz w:val="32"/>
          <w:szCs w:val="32"/>
        </w:rPr>
        <w:t>材料</w:t>
      </w:r>
      <w:r>
        <w:rPr>
          <w:rFonts w:hint="eastAsia" w:eastAsia="方正仿宋_GBK"/>
          <w:color w:val="000000"/>
          <w:kern w:val="32"/>
          <w:sz w:val="32"/>
          <w:szCs w:val="32"/>
        </w:rPr>
        <w:t>等</w:t>
      </w:r>
      <w:r>
        <w:rPr>
          <w:rFonts w:eastAsia="方正仿宋_GBK"/>
          <w:color w:val="000000"/>
          <w:kern w:val="32"/>
          <w:sz w:val="32"/>
          <w:szCs w:val="32"/>
        </w:rPr>
        <w:t>。</w:t>
      </w:r>
    </w:p>
    <w:p>
      <w:pPr>
        <w:tabs>
          <w:tab w:val="left" w:pos="3393"/>
          <w:tab w:val="left" w:pos="9413"/>
        </w:tabs>
        <w:overflowPunct w:val="0"/>
        <w:snapToGrid w:val="0"/>
        <w:spacing w:line="550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填报说明：2020年检结论为“基本合格”、“不合格”、</w:t>
      </w:r>
      <w:r>
        <w:rPr>
          <w:rFonts w:eastAsia="方正仿宋_GBK"/>
          <w:color w:val="000000"/>
          <w:kern w:val="32"/>
          <w:sz w:val="32"/>
          <w:szCs w:val="32"/>
        </w:rPr>
        <w:t>20</w:t>
      </w:r>
      <w:r>
        <w:rPr>
          <w:rFonts w:hint="eastAsia" w:eastAsia="方正仿宋_GBK"/>
          <w:color w:val="000000"/>
          <w:kern w:val="32"/>
          <w:sz w:val="32"/>
          <w:szCs w:val="32"/>
        </w:rPr>
        <w:t>21</w:t>
      </w:r>
      <w:r>
        <w:rPr>
          <w:rFonts w:eastAsia="方正仿宋_GBK"/>
          <w:color w:val="000000"/>
          <w:kern w:val="32"/>
          <w:sz w:val="32"/>
          <w:szCs w:val="32"/>
        </w:rPr>
        <w:t>年“</w:t>
      </w:r>
      <w:bookmarkStart w:id="0" w:name="_GoBack"/>
      <w:r>
        <w:rPr>
          <w:rFonts w:eastAsia="方正仿宋_GBK"/>
          <w:color w:val="000000"/>
          <w:kern w:val="32"/>
          <w:sz w:val="32"/>
          <w:szCs w:val="32"/>
        </w:rPr>
        <w:t>双</w:t>
      </w:r>
      <w:bookmarkEnd w:id="0"/>
      <w:r>
        <w:rPr>
          <w:rFonts w:eastAsia="方正仿宋_GBK"/>
          <w:color w:val="000000"/>
          <w:kern w:val="32"/>
          <w:sz w:val="32"/>
          <w:szCs w:val="32"/>
        </w:rPr>
        <w:t>随机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、</w:t>
      </w:r>
      <w:r>
        <w:rPr>
          <w:rFonts w:eastAsia="方正仿宋_GBK"/>
          <w:color w:val="000000"/>
          <w:kern w:val="32"/>
          <w:sz w:val="32"/>
          <w:szCs w:val="32"/>
        </w:rPr>
        <w:t>一公开”检查中存在问题的民办非企业单位</w:t>
      </w:r>
      <w:r>
        <w:rPr>
          <w:rFonts w:hint="eastAsia" w:eastAsia="方正仿宋_GBK"/>
          <w:color w:val="000000"/>
          <w:kern w:val="32"/>
          <w:sz w:val="32"/>
          <w:szCs w:val="32"/>
        </w:rPr>
        <w:t>，须在《工作报告书》中对整改落实情况作专项说明。</w:t>
      </w:r>
    </w:p>
    <w:p>
      <w:pPr>
        <w:tabs>
          <w:tab w:val="left" w:pos="3393"/>
          <w:tab w:val="left" w:pos="9413"/>
        </w:tabs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年检报告书中的年度总结要体现</w:t>
      </w:r>
      <w:r>
        <w:rPr>
          <w:rFonts w:hint="eastAsia" w:eastAsia="方正仿宋_GBK"/>
          <w:color w:val="000000"/>
          <w:kern w:val="32"/>
          <w:sz w:val="32"/>
        </w:rPr>
        <w:t>乡村振兴、开展生活垃圾分类情况和自身存在的风险隐患及防范化解措施</w:t>
      </w:r>
      <w:r>
        <w:rPr>
          <w:rFonts w:eastAsia="方正仿宋_GBK"/>
          <w:color w:val="000000"/>
          <w:kern w:val="32"/>
          <w:sz w:val="32"/>
        </w:rPr>
        <w:t>等方面</w:t>
      </w:r>
      <w:r>
        <w:rPr>
          <w:rFonts w:hint="eastAsia" w:eastAsia="方正仿宋_GBK"/>
          <w:color w:val="000000"/>
          <w:kern w:val="32"/>
          <w:sz w:val="32"/>
        </w:rPr>
        <w:t>工作。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五、年检方式和程序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楷体_GBK"/>
          <w:color w:val="000000"/>
          <w:kern w:val="32"/>
          <w:sz w:val="32"/>
          <w:szCs w:val="32"/>
        </w:rPr>
      </w:pPr>
      <w:r>
        <w:rPr>
          <w:rFonts w:eastAsia="方正楷体_GBK"/>
          <w:color w:val="000000"/>
          <w:kern w:val="32"/>
          <w:sz w:val="32"/>
          <w:szCs w:val="32"/>
        </w:rPr>
        <w:t>（一）年检方式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本次年检，采取网上填报</w:t>
      </w:r>
      <w:r>
        <w:rPr>
          <w:rFonts w:hint="eastAsia" w:eastAsia="方正仿宋_GBK"/>
          <w:color w:val="000000"/>
          <w:kern w:val="32"/>
          <w:sz w:val="32"/>
          <w:szCs w:val="32"/>
        </w:rPr>
        <w:t>-</w:t>
      </w:r>
      <w:r>
        <w:rPr>
          <w:rFonts w:eastAsia="方正仿宋_GBK"/>
          <w:color w:val="000000"/>
          <w:kern w:val="32"/>
          <w:sz w:val="32"/>
          <w:szCs w:val="32"/>
        </w:rPr>
        <w:t>登记管理机关网上初审</w:t>
      </w:r>
      <w:r>
        <w:rPr>
          <w:rFonts w:hint="eastAsia" w:eastAsia="方正仿宋_GBK"/>
          <w:color w:val="000000"/>
          <w:kern w:val="32"/>
          <w:sz w:val="32"/>
          <w:szCs w:val="32"/>
        </w:rPr>
        <w:t>-</w:t>
      </w:r>
      <w:r>
        <w:rPr>
          <w:rFonts w:eastAsia="方正仿宋_GBK"/>
          <w:color w:val="000000"/>
          <w:kern w:val="32"/>
          <w:sz w:val="32"/>
          <w:szCs w:val="32"/>
        </w:rPr>
        <w:t>打印《年</w:t>
      </w:r>
      <w:r>
        <w:rPr>
          <w:rFonts w:hint="eastAsia" w:eastAsia="方正仿宋_GBK"/>
          <w:color w:val="000000"/>
          <w:kern w:val="32"/>
          <w:sz w:val="32"/>
          <w:szCs w:val="32"/>
        </w:rPr>
        <w:t>度工作</w:t>
      </w:r>
      <w:r>
        <w:rPr>
          <w:rFonts w:eastAsia="方正仿宋_GBK"/>
          <w:color w:val="000000"/>
          <w:kern w:val="32"/>
          <w:sz w:val="32"/>
          <w:szCs w:val="32"/>
        </w:rPr>
        <w:t>报告书》</w:t>
      </w:r>
      <w:r>
        <w:rPr>
          <w:rFonts w:hint="eastAsia" w:eastAsia="方正仿宋_GBK"/>
          <w:color w:val="000000"/>
          <w:kern w:val="32"/>
          <w:sz w:val="32"/>
          <w:szCs w:val="32"/>
        </w:rPr>
        <w:t>-</w:t>
      </w:r>
      <w:r>
        <w:rPr>
          <w:rFonts w:eastAsia="方正仿宋_GBK"/>
          <w:color w:val="000000"/>
          <w:kern w:val="32"/>
          <w:sz w:val="32"/>
          <w:szCs w:val="32"/>
        </w:rPr>
        <w:t>业务主管单位审查</w:t>
      </w:r>
      <w:r>
        <w:rPr>
          <w:rFonts w:hint="eastAsia" w:eastAsia="方正仿宋_GBK"/>
          <w:color w:val="000000"/>
          <w:kern w:val="32"/>
          <w:sz w:val="32"/>
          <w:szCs w:val="32"/>
        </w:rPr>
        <w:t>（直接登记的除外）-</w:t>
      </w:r>
      <w:r>
        <w:rPr>
          <w:rFonts w:eastAsia="方正仿宋_GBK"/>
          <w:color w:val="000000"/>
          <w:kern w:val="32"/>
          <w:sz w:val="32"/>
          <w:szCs w:val="32"/>
        </w:rPr>
        <w:t>报送登记管理机关</w:t>
      </w:r>
      <w:r>
        <w:rPr>
          <w:rFonts w:hint="eastAsia" w:eastAsia="方正仿宋_GBK"/>
          <w:color w:val="000000"/>
          <w:kern w:val="32"/>
          <w:sz w:val="32"/>
          <w:szCs w:val="32"/>
        </w:rPr>
        <w:t>-</w:t>
      </w:r>
      <w:r>
        <w:rPr>
          <w:rFonts w:eastAsia="方正仿宋_GBK"/>
          <w:color w:val="000000"/>
          <w:kern w:val="32"/>
          <w:sz w:val="32"/>
          <w:szCs w:val="32"/>
        </w:rPr>
        <w:t>登记管理机关审核办结等方式进行。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楷体_GBK"/>
          <w:color w:val="000000"/>
          <w:kern w:val="32"/>
          <w:sz w:val="32"/>
          <w:szCs w:val="32"/>
        </w:rPr>
      </w:pPr>
      <w:r>
        <w:rPr>
          <w:rFonts w:eastAsia="方正楷体_GBK"/>
          <w:color w:val="000000"/>
          <w:kern w:val="32"/>
          <w:sz w:val="32"/>
          <w:szCs w:val="32"/>
        </w:rPr>
        <w:t>（二）年检程序</w:t>
      </w:r>
    </w:p>
    <w:p>
      <w:pPr>
        <w:overflowPunct w:val="0"/>
        <w:snapToGrid w:val="0"/>
        <w:spacing w:line="550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1. 网上填报信息。</w:t>
      </w:r>
    </w:p>
    <w:p>
      <w:pPr>
        <w:overflowPunct w:val="0"/>
        <w:snapToGrid w:val="0"/>
        <w:spacing w:line="550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参检单位上网登录“重庆市民政局公众信息网”（网址：http:// mzj.cq.gov.cn）→在首页中部“便民导航”中点击“社会组织年检”→进入“重庆市政务服务网统一认证中心”进行注册并登录（按照网页提示要求注册账号）→登录后自动跳转至“重庆民政综合业务管理平台”。（账号注册、系统登录等演示视频见链接：</w:t>
      </w:r>
    </w:p>
    <w:p>
      <w:pPr>
        <w:overflowPunct w:val="0"/>
        <w:snapToGrid w:val="0"/>
        <w:spacing w:line="550" w:lineRule="exact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https://pan.baidu.com/s/1PetBbqXQDfzH0OiKMEwRUA?pwd=1234）</w:t>
      </w:r>
    </w:p>
    <w:p>
      <w:pPr>
        <w:overflowPunct w:val="0"/>
        <w:snapToGrid w:val="0"/>
        <w:spacing w:line="550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登录“重庆民政综合业务管理平台”后，选择左侧“年检信息”并选定对应的年检任务，点击“填写年检信息”，进行年检报告书填写。（提交前可多次填写、修改并保存，提交后不可再进行修改）</w:t>
      </w:r>
    </w:p>
    <w:p>
      <w:pPr>
        <w:overflowPunct w:val="0"/>
        <w:snapToGrid w:val="0"/>
        <w:spacing w:line="550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2.登记管理机关网上审查填报材料。</w:t>
      </w:r>
    </w:p>
    <w:p>
      <w:pPr>
        <w:overflowPunct w:val="0"/>
        <w:snapToGrid w:val="0"/>
        <w:spacing w:line="550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登记管理机关对各单位填报的《工作报告书》进行网上审查，符合要求后予以审查通过。</w:t>
      </w:r>
    </w:p>
    <w:p>
      <w:pPr>
        <w:overflowPunct w:val="0"/>
        <w:snapToGrid w:val="0"/>
        <w:spacing w:line="550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3.业务主管单位进行年检初审。</w:t>
      </w:r>
    </w:p>
    <w:p>
      <w:pPr>
        <w:overflowPunct w:val="0"/>
        <w:snapToGrid w:val="0"/>
        <w:spacing w:line="550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参检单位应备齐《工作报告书》等年检相关材料，及时报送业务主管单位进行年检初审，经签署审查意见和加盖印章后，完成年检初审。</w:t>
      </w:r>
    </w:p>
    <w:p>
      <w:pPr>
        <w:overflowPunct w:val="0"/>
        <w:snapToGrid w:val="0"/>
        <w:spacing w:line="550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4. 登记管理机关审核办结年检。</w:t>
      </w:r>
    </w:p>
    <w:p>
      <w:pPr>
        <w:overflowPunct w:val="0"/>
        <w:snapToGrid w:val="0"/>
        <w:spacing w:line="550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参检单位持相关有效书证材料，报送登记管理机关，待登记管理机关审核并加盖年检结论印章后，办结本次年检。</w:t>
      </w:r>
    </w:p>
    <w:p>
      <w:pPr>
        <w:overflowPunct w:val="0"/>
        <w:snapToGrid w:val="0"/>
        <w:spacing w:line="550" w:lineRule="exact"/>
        <w:ind w:firstLine="643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b/>
          <w:color w:val="000000"/>
          <w:kern w:val="32"/>
          <w:sz w:val="32"/>
          <w:szCs w:val="32"/>
        </w:rPr>
        <w:t>特别提醒：</w:t>
      </w:r>
      <w:r>
        <w:rPr>
          <w:rFonts w:eastAsia="方正仿宋_GBK"/>
          <w:color w:val="000000"/>
          <w:kern w:val="32"/>
          <w:sz w:val="32"/>
          <w:szCs w:val="32"/>
        </w:rPr>
        <w:t>民办非企业单位应认真填写《</w:t>
      </w:r>
      <w:r>
        <w:rPr>
          <w:rFonts w:hint="eastAsia" w:eastAsia="方正仿宋_GBK"/>
          <w:color w:val="000000"/>
          <w:kern w:val="32"/>
          <w:sz w:val="32"/>
          <w:szCs w:val="32"/>
        </w:rPr>
        <w:t>工作</w:t>
      </w:r>
      <w:r>
        <w:rPr>
          <w:rFonts w:eastAsia="方正仿宋_GBK"/>
          <w:color w:val="000000"/>
          <w:kern w:val="32"/>
          <w:sz w:val="32"/>
          <w:szCs w:val="32"/>
        </w:rPr>
        <w:t>报告书》，要仔细看清相关栏目的要求及注释事项，填报过程中未提交给登记管理机关前可进行修改，但每次退出时须点击“保存”按钮，避免已填写数据丢失。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hint="eastAsia" w:eastAsia="方正黑体_GBK"/>
          <w:color w:val="000000"/>
          <w:kern w:val="32"/>
          <w:sz w:val="32"/>
          <w:szCs w:val="32"/>
        </w:rPr>
        <w:t>六</w:t>
      </w:r>
      <w:r>
        <w:rPr>
          <w:rFonts w:eastAsia="方正黑体_GBK"/>
          <w:color w:val="000000"/>
          <w:kern w:val="32"/>
          <w:sz w:val="32"/>
          <w:szCs w:val="32"/>
        </w:rPr>
        <w:t>、年检</w:t>
      </w:r>
      <w:r>
        <w:rPr>
          <w:rFonts w:hint="eastAsia" w:eastAsia="方正黑体_GBK"/>
          <w:color w:val="000000"/>
          <w:kern w:val="32"/>
          <w:sz w:val="32"/>
          <w:szCs w:val="32"/>
        </w:rPr>
        <w:t>结论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</w:rPr>
      </w:pPr>
      <w:r>
        <w:rPr>
          <w:rFonts w:hint="eastAsia" w:eastAsia="方正仿宋_GBK"/>
          <w:color w:val="000000"/>
          <w:kern w:val="32"/>
          <w:sz w:val="32"/>
        </w:rPr>
        <w:t>民办非企业单位年检结论分为“合格”“基本合格”“不合格”。</w:t>
      </w:r>
      <w:r>
        <w:rPr>
          <w:rFonts w:eastAsia="方正仿宋_GBK"/>
          <w:color w:val="000000"/>
          <w:kern w:val="32"/>
          <w:sz w:val="32"/>
        </w:rPr>
        <w:t>为提升公众对民办非企业单位监督的透明度，登记</w:t>
      </w:r>
      <w:r>
        <w:rPr>
          <w:rFonts w:hint="eastAsia" w:eastAsia="方正仿宋_GBK"/>
          <w:color w:val="000000"/>
          <w:kern w:val="32"/>
          <w:sz w:val="32"/>
        </w:rPr>
        <w:t>管理</w:t>
      </w:r>
      <w:r>
        <w:rPr>
          <w:rFonts w:eastAsia="方正仿宋_GBK"/>
          <w:color w:val="000000"/>
          <w:kern w:val="32"/>
          <w:sz w:val="32"/>
        </w:rPr>
        <w:t>机关将采取分批次方式，向社会</w:t>
      </w:r>
      <w:r>
        <w:rPr>
          <w:rFonts w:hint="eastAsia" w:eastAsia="方正仿宋_GBK"/>
          <w:color w:val="000000"/>
          <w:kern w:val="32"/>
          <w:sz w:val="32"/>
        </w:rPr>
        <w:t>公示拟定年检结论、</w:t>
      </w:r>
      <w:r>
        <w:rPr>
          <w:rFonts w:eastAsia="方正仿宋_GBK"/>
          <w:color w:val="000000"/>
          <w:kern w:val="32"/>
          <w:sz w:val="32"/>
        </w:rPr>
        <w:t>公告年检结论。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对年检结论为“基本合格”或“不合格”的民办非企业单位，将进行为期3个月的整改，整改后向登记管理机关报送整改报告，登记管理机关对整改结果进行评定并出具意见。对未按期完成整改或</w:t>
      </w:r>
      <w:r>
        <w:rPr>
          <w:rFonts w:eastAsia="方正仿宋_GBK"/>
          <w:color w:val="000000"/>
          <w:kern w:val="32"/>
          <w:sz w:val="32"/>
          <w:szCs w:val="32"/>
        </w:rPr>
        <w:t>未</w:t>
      </w:r>
      <w:r>
        <w:rPr>
          <w:rFonts w:hint="eastAsia" w:eastAsia="方正仿宋_GBK"/>
          <w:color w:val="000000"/>
          <w:kern w:val="32"/>
          <w:sz w:val="32"/>
          <w:szCs w:val="32"/>
        </w:rPr>
        <w:t>按规定</w:t>
      </w:r>
      <w:r>
        <w:rPr>
          <w:rFonts w:eastAsia="方正仿宋_GBK"/>
          <w:color w:val="000000"/>
          <w:kern w:val="32"/>
          <w:sz w:val="32"/>
          <w:szCs w:val="32"/>
        </w:rPr>
        <w:t>参加年检的民办非企业单位</w:t>
      </w:r>
      <w:r>
        <w:rPr>
          <w:rFonts w:hint="eastAsia" w:eastAsia="方正仿宋_GBK"/>
          <w:color w:val="000000"/>
          <w:kern w:val="32"/>
          <w:sz w:val="32"/>
          <w:szCs w:val="32"/>
        </w:rPr>
        <w:t>将依据《社会组织信用信息管理办法》规定列入活动异常名录。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 xml:space="preserve">（一）民办非企业单位内部管理规范，严格按照章程进行内部治理和开展活动，未发现存在违反民办非企业单位登记管理有关法规政策规定的行为，年检结论确定为“合格”。   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（二）发现民办非企业单位在202</w:t>
      </w:r>
      <w:r>
        <w:rPr>
          <w:rFonts w:hint="eastAsia" w:eastAsia="方正仿宋_GBK"/>
          <w:color w:val="000000"/>
          <w:kern w:val="32"/>
          <w:sz w:val="32"/>
          <w:szCs w:val="32"/>
        </w:rPr>
        <w:t>1</w:t>
      </w:r>
      <w:r>
        <w:rPr>
          <w:rFonts w:eastAsia="方正仿宋_GBK"/>
          <w:color w:val="000000"/>
          <w:kern w:val="32"/>
          <w:sz w:val="32"/>
          <w:szCs w:val="32"/>
        </w:rPr>
        <w:t>年度存在下列情形，情节较轻的，年检结论确定为“基本合格”；情节严重、影响恶劣的，年检结论确定为“不合格”：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1.应建未建党组织的；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2.未按要求将党的建设和社会主义核心价值观写入章程的；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3.不具备法律规定民办非企业单位法人基本条件的，包括没有与其业务活动相适应的从业人员、年末净资产为负数等情形</w:t>
      </w:r>
      <w:r>
        <w:rPr>
          <w:rFonts w:hint="eastAsia" w:eastAsia="方正仿宋_GBK"/>
          <w:color w:val="000000"/>
          <w:kern w:val="32"/>
          <w:sz w:val="32"/>
          <w:szCs w:val="32"/>
        </w:rPr>
        <w:t>的</w:t>
      </w:r>
      <w:r>
        <w:rPr>
          <w:rFonts w:eastAsia="方正仿宋_GBK"/>
          <w:color w:val="000000"/>
          <w:kern w:val="32"/>
          <w:sz w:val="32"/>
          <w:szCs w:val="32"/>
        </w:rPr>
        <w:t>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4.未遵守非营利活动准则</w:t>
      </w:r>
      <w:r>
        <w:rPr>
          <w:rFonts w:hint="eastAsia" w:eastAsia="方正仿宋_GBK"/>
          <w:color w:val="000000"/>
          <w:kern w:val="32"/>
          <w:sz w:val="32"/>
          <w:szCs w:val="32"/>
        </w:rPr>
        <w:t>，从事营利性经营活动的</w:t>
      </w:r>
      <w:r>
        <w:rPr>
          <w:rFonts w:eastAsia="方正仿宋_GBK"/>
          <w:color w:val="000000"/>
          <w:kern w:val="32"/>
          <w:sz w:val="32"/>
          <w:szCs w:val="32"/>
        </w:rPr>
        <w:t>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5.违反规定使用登记证书、印章或者财务凭证的；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6</w:t>
      </w:r>
      <w:r>
        <w:rPr>
          <w:rFonts w:eastAsia="方正仿宋_GBK"/>
          <w:color w:val="000000"/>
          <w:kern w:val="32"/>
          <w:sz w:val="32"/>
          <w:szCs w:val="32"/>
        </w:rPr>
        <w:t>.不按照章程规定进行活动的，包括超出章程规定的宗旨和业务范围开展活动</w:t>
      </w:r>
      <w:r>
        <w:rPr>
          <w:rFonts w:hint="eastAsia" w:eastAsia="方正仿宋_GBK"/>
          <w:color w:val="000000"/>
          <w:kern w:val="32"/>
          <w:sz w:val="32"/>
          <w:szCs w:val="32"/>
        </w:rPr>
        <w:t>的；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7</w:t>
      </w:r>
      <w:r>
        <w:rPr>
          <w:rFonts w:eastAsia="方正仿宋_GBK"/>
          <w:color w:val="000000"/>
          <w:kern w:val="32"/>
          <w:sz w:val="32"/>
          <w:szCs w:val="32"/>
        </w:rPr>
        <w:t>.无固定住所或必要活动场所的；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8</w:t>
      </w:r>
      <w:r>
        <w:rPr>
          <w:rFonts w:eastAsia="方正仿宋_GBK"/>
          <w:color w:val="000000"/>
          <w:kern w:val="32"/>
          <w:sz w:val="32"/>
          <w:szCs w:val="32"/>
        </w:rPr>
        <w:t>.内部管理混乱，不能正常开展活动的；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9</w:t>
      </w:r>
      <w:r>
        <w:rPr>
          <w:rFonts w:eastAsia="方正仿宋_GBK"/>
          <w:color w:val="000000"/>
          <w:kern w:val="32"/>
          <w:sz w:val="32"/>
          <w:szCs w:val="32"/>
        </w:rPr>
        <w:t>.拒不接受或者不按照规定接受登记管理机关监督检查或年检的；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0</w:t>
      </w:r>
      <w:r>
        <w:rPr>
          <w:rFonts w:eastAsia="方正仿宋_GBK"/>
          <w:color w:val="000000"/>
          <w:kern w:val="32"/>
          <w:sz w:val="32"/>
          <w:szCs w:val="32"/>
        </w:rPr>
        <w:t>.不按照规定办理变更登记，修改章程未按规定核准备案的；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1</w:t>
      </w:r>
      <w:r>
        <w:rPr>
          <w:rFonts w:eastAsia="方正仿宋_GBK"/>
          <w:color w:val="000000"/>
          <w:kern w:val="32"/>
          <w:sz w:val="32"/>
          <w:szCs w:val="32"/>
        </w:rPr>
        <w:t>.设立分支机构的；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2</w:t>
      </w:r>
      <w:r>
        <w:rPr>
          <w:rFonts w:eastAsia="方正仿宋_GBK"/>
          <w:color w:val="000000"/>
          <w:kern w:val="32"/>
          <w:sz w:val="32"/>
          <w:szCs w:val="32"/>
        </w:rPr>
        <w:t>.财务制度不健全，资金来源和使用违反有关规定的；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3</w:t>
      </w:r>
      <w:r>
        <w:rPr>
          <w:rFonts w:eastAsia="方正仿宋_GBK"/>
          <w:color w:val="000000"/>
          <w:kern w:val="32"/>
          <w:sz w:val="32"/>
          <w:szCs w:val="32"/>
        </w:rPr>
        <w:t>.净资产低于国家有关行业主管部门规定的最低标准的；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4</w:t>
      </w:r>
      <w:r>
        <w:rPr>
          <w:rFonts w:eastAsia="方正仿宋_GBK"/>
          <w:color w:val="000000"/>
          <w:kern w:val="32"/>
          <w:sz w:val="32"/>
          <w:szCs w:val="32"/>
        </w:rPr>
        <w:t>.侵占、私分、挪用民办非企业单位的资产或者所接受的捐赠、资助的；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5</w:t>
      </w:r>
      <w:r>
        <w:rPr>
          <w:rFonts w:eastAsia="方正仿宋_GBK"/>
          <w:color w:val="000000"/>
          <w:kern w:val="32"/>
          <w:sz w:val="32"/>
          <w:szCs w:val="32"/>
        </w:rPr>
        <w:t>.违反国家有关规定收取费用、筹集资金或者接受使用捐赠、资助的；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6</w:t>
      </w:r>
      <w:r>
        <w:rPr>
          <w:rFonts w:eastAsia="方正仿宋_GBK"/>
          <w:color w:val="000000"/>
          <w:kern w:val="32"/>
          <w:sz w:val="32"/>
          <w:szCs w:val="32"/>
        </w:rPr>
        <w:t>.年检中隐瞒真实情况，弄虚作假的；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7</w:t>
      </w:r>
      <w:r>
        <w:rPr>
          <w:rFonts w:eastAsia="方正仿宋_GBK"/>
          <w:color w:val="000000"/>
          <w:kern w:val="32"/>
          <w:sz w:val="32"/>
          <w:szCs w:val="32"/>
        </w:rPr>
        <w:t>.未按时报送符合要求的年检材料，或者未按照登记管理机关要求对问题进行整改的；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</w:t>
      </w:r>
      <w:r>
        <w:rPr>
          <w:rFonts w:hint="eastAsia" w:eastAsia="方正仿宋_GBK"/>
          <w:color w:val="000000"/>
          <w:kern w:val="32"/>
          <w:sz w:val="32"/>
          <w:szCs w:val="32"/>
        </w:rPr>
        <w:t>8</w:t>
      </w:r>
      <w:r>
        <w:rPr>
          <w:rFonts w:eastAsia="方正仿宋_GBK"/>
          <w:color w:val="000000"/>
          <w:kern w:val="32"/>
          <w:sz w:val="32"/>
          <w:szCs w:val="32"/>
        </w:rPr>
        <w:t>.未按照章程规定召开理事会或未按期进行理事、监事换届</w:t>
      </w:r>
      <w:r>
        <w:rPr>
          <w:rFonts w:hint="eastAsia" w:eastAsia="方正仿宋_GBK"/>
          <w:color w:val="000000"/>
          <w:kern w:val="32"/>
          <w:sz w:val="32"/>
          <w:szCs w:val="32"/>
        </w:rPr>
        <w:t>，</w:t>
      </w:r>
      <w:r>
        <w:rPr>
          <w:rFonts w:eastAsia="方正仿宋_GBK"/>
          <w:color w:val="000000"/>
          <w:kern w:val="32"/>
          <w:sz w:val="32"/>
          <w:szCs w:val="32"/>
        </w:rPr>
        <w:t>或者未按照规定办理负责人备案的；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19.业务主管单位年检初审意见为基本合格或不合格的；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20.各级党政机关、各级党组织发现存在违反法律法规，或影响经济社会发展和稳定、危害国家安全和利益的情形；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2</w:t>
      </w:r>
      <w:r>
        <w:rPr>
          <w:rFonts w:hint="eastAsia" w:eastAsia="方正仿宋_GBK"/>
          <w:color w:val="000000"/>
          <w:kern w:val="32"/>
          <w:sz w:val="32"/>
          <w:szCs w:val="32"/>
        </w:rPr>
        <w:t>1</w:t>
      </w:r>
      <w:r>
        <w:rPr>
          <w:rFonts w:eastAsia="方正仿宋_GBK"/>
          <w:color w:val="000000"/>
          <w:kern w:val="32"/>
          <w:sz w:val="32"/>
          <w:szCs w:val="32"/>
        </w:rPr>
        <w:t>.其他违反国家法律法规政策规定和民办非企业单位章程行为的。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三）民办非企业单位不得反对宪法确定的基本原则，不得危害国家的统一、安全和民族的团结，不得损害国家利益、社会公共利益以及其他社会组织和公民的合法权益，不得违背社会道德风尚。如发现民办非企业单位存在以上行为，年检结论确定为“不合格”，并依法给予行政处罚；构成犯罪的，依法追究刑事责任。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hint="eastAsia" w:eastAsia="方正黑体_GBK"/>
          <w:color w:val="000000"/>
          <w:kern w:val="32"/>
          <w:sz w:val="32"/>
          <w:szCs w:val="32"/>
        </w:rPr>
        <w:t>七</w:t>
      </w:r>
      <w:r>
        <w:rPr>
          <w:rFonts w:eastAsia="方正黑体_GBK"/>
          <w:color w:val="000000"/>
          <w:kern w:val="32"/>
          <w:sz w:val="32"/>
          <w:szCs w:val="32"/>
        </w:rPr>
        <w:t xml:space="preserve">、相关要求 </w:t>
      </w:r>
    </w:p>
    <w:p>
      <w:pPr>
        <w:overflowPunct w:val="0"/>
        <w:snapToGrid w:val="0"/>
        <w:spacing w:line="550" w:lineRule="exact"/>
        <w:ind w:firstLine="640"/>
        <w:rPr>
          <w:rFonts w:ascii="方正仿宋_GBK"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（一）接受年检是民办非企业单位的法定义务。</w:t>
      </w:r>
      <w:r>
        <w:rPr>
          <w:rFonts w:eastAsia="方正仿宋_GBK"/>
          <w:color w:val="000000"/>
          <w:kern w:val="32"/>
          <w:sz w:val="32"/>
        </w:rPr>
        <w:t>各</w:t>
      </w:r>
      <w:r>
        <w:rPr>
          <w:rFonts w:eastAsia="方正仿宋_GBK"/>
          <w:color w:val="000000"/>
          <w:kern w:val="32"/>
          <w:sz w:val="32"/>
          <w:szCs w:val="32"/>
        </w:rPr>
        <w:t>民办非企业单位</w:t>
      </w:r>
      <w:r>
        <w:rPr>
          <w:rFonts w:eastAsia="方正仿宋_GBK"/>
          <w:color w:val="000000"/>
          <w:kern w:val="32"/>
          <w:sz w:val="32"/>
        </w:rPr>
        <w:t>要严格按照本通知</w:t>
      </w:r>
      <w:r>
        <w:rPr>
          <w:rFonts w:hint="eastAsia" w:eastAsia="方正仿宋_GBK"/>
          <w:color w:val="000000"/>
          <w:kern w:val="32"/>
          <w:sz w:val="32"/>
        </w:rPr>
        <w:t>规</w:t>
      </w:r>
      <w:r>
        <w:rPr>
          <w:rFonts w:eastAsia="方正仿宋_GBK"/>
          <w:color w:val="000000"/>
          <w:kern w:val="32"/>
          <w:sz w:val="32"/>
        </w:rPr>
        <w:t>定的方式、程序和要求，在规定时限内完成本次年检</w:t>
      </w:r>
      <w:r>
        <w:rPr>
          <w:rFonts w:hint="eastAsia" w:eastAsia="方正仿宋_GBK"/>
          <w:color w:val="000000"/>
          <w:kern w:val="32"/>
          <w:sz w:val="32"/>
        </w:rPr>
        <w:t>，逾期不予受理</w:t>
      </w:r>
      <w:r>
        <w:rPr>
          <w:rFonts w:eastAsia="方正仿宋_GBK"/>
          <w:color w:val="000000"/>
          <w:kern w:val="32"/>
          <w:sz w:val="32"/>
        </w:rPr>
        <w:t>。除业务主管单位要求</w:t>
      </w:r>
      <w:r>
        <w:rPr>
          <w:rFonts w:hint="eastAsia" w:ascii="方正仿宋_GBK" w:eastAsia="方正仿宋_GBK"/>
          <w:color w:val="000000"/>
          <w:kern w:val="32"/>
          <w:sz w:val="32"/>
        </w:rPr>
        <w:t>整改的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民办非企业单位外，</w:t>
      </w:r>
      <w:r>
        <w:rPr>
          <w:rFonts w:hint="eastAsia" w:ascii="方正仿宋_GBK" w:eastAsia="方正仿宋_GBK"/>
          <w:color w:val="000000"/>
          <w:kern w:val="32"/>
          <w:sz w:val="32"/>
        </w:rPr>
        <w:t>凡逾期未接受年检的，将被视为“拒不接受或不按照规定接受监督检查”，将依法予以行政处罚。</w:t>
      </w:r>
      <w:r>
        <w:rPr>
          <w:rFonts w:hint="eastAsia" w:eastAsia="方正仿宋_GBK"/>
          <w:color w:val="000000"/>
          <w:kern w:val="32"/>
          <w:sz w:val="32"/>
        </w:rPr>
        <w:t>履行民办非企业单位年检的初审是业务主管单位的法定职责。</w:t>
      </w:r>
      <w:r>
        <w:rPr>
          <w:rFonts w:eastAsia="方正仿宋_GBK"/>
          <w:color w:val="000000"/>
          <w:kern w:val="32"/>
          <w:sz w:val="32"/>
        </w:rPr>
        <w:t>各业务主管单位要及时将本通知发送到所属</w:t>
      </w:r>
      <w:r>
        <w:rPr>
          <w:rFonts w:eastAsia="方正仿宋_GBK"/>
          <w:color w:val="000000"/>
          <w:kern w:val="32"/>
          <w:sz w:val="32"/>
          <w:szCs w:val="32"/>
        </w:rPr>
        <w:t>民办非企业单位</w:t>
      </w:r>
      <w:r>
        <w:rPr>
          <w:rFonts w:eastAsia="方正仿宋_GBK"/>
          <w:color w:val="000000"/>
          <w:kern w:val="32"/>
          <w:sz w:val="32"/>
        </w:rPr>
        <w:t>，</w:t>
      </w:r>
      <w:r>
        <w:rPr>
          <w:rFonts w:hint="eastAsia" w:eastAsia="方正仿宋_GBK"/>
          <w:color w:val="000000"/>
          <w:kern w:val="32"/>
          <w:sz w:val="32"/>
          <w:szCs w:val="32"/>
        </w:rPr>
        <w:t>按时</w:t>
      </w:r>
      <w:r>
        <w:rPr>
          <w:rFonts w:eastAsia="方正仿宋_GBK"/>
          <w:color w:val="000000"/>
          <w:kern w:val="32"/>
          <w:sz w:val="32"/>
          <w:szCs w:val="32"/>
        </w:rPr>
        <w:t>完成初审工作，</w:t>
      </w:r>
      <w:r>
        <w:rPr>
          <w:rFonts w:hint="eastAsia" w:eastAsia="方正仿宋_GBK"/>
          <w:color w:val="000000"/>
          <w:kern w:val="32"/>
          <w:sz w:val="32"/>
          <w:szCs w:val="32"/>
        </w:rPr>
        <w:t>且务必签署“合格”或“基本合格”或“不合格”的初审意见，</w:t>
      </w:r>
      <w:r>
        <w:rPr>
          <w:rFonts w:eastAsia="方正仿宋_GBK"/>
          <w:color w:val="000000"/>
          <w:kern w:val="32"/>
          <w:sz w:val="32"/>
        </w:rPr>
        <w:t>指导并督促其于</w:t>
      </w:r>
      <w:r>
        <w:rPr>
          <w:rFonts w:hint="eastAsia" w:eastAsia="方正仿宋_GBK"/>
          <w:color w:val="000000"/>
          <w:kern w:val="32"/>
          <w:sz w:val="32"/>
        </w:rPr>
        <w:t>7</w:t>
      </w:r>
      <w:r>
        <w:rPr>
          <w:rFonts w:eastAsia="方正仿宋_GBK"/>
          <w:color w:val="000000"/>
          <w:kern w:val="32"/>
          <w:sz w:val="32"/>
        </w:rPr>
        <w:t>月</w:t>
      </w:r>
      <w:r>
        <w:rPr>
          <w:rFonts w:hint="eastAsia" w:eastAsia="方正仿宋_GBK"/>
          <w:color w:val="000000"/>
          <w:kern w:val="32"/>
          <w:sz w:val="32"/>
        </w:rPr>
        <w:t>31</w:t>
      </w:r>
      <w:r>
        <w:rPr>
          <w:rFonts w:eastAsia="方正仿宋_GBK"/>
          <w:color w:val="000000"/>
          <w:kern w:val="32"/>
          <w:sz w:val="32"/>
        </w:rPr>
        <w:t>日前到登记管理机关完成本次年检</w:t>
      </w:r>
      <w:r>
        <w:rPr>
          <w:rFonts w:hint="eastAsia" w:eastAsia="方正仿宋_GBK"/>
          <w:color w:val="000000"/>
          <w:kern w:val="32"/>
          <w:sz w:val="32"/>
        </w:rPr>
        <w:t>。</w:t>
      </w:r>
      <w:r>
        <w:rPr>
          <w:rFonts w:eastAsia="方正仿宋_GBK"/>
          <w:color w:val="000000"/>
          <w:kern w:val="32"/>
          <w:sz w:val="32"/>
          <w:szCs w:val="32"/>
        </w:rPr>
        <w:t>年检结论关系到民办非企业单位的社会信用、税收优惠、等级评估、承接政府购买服务、税前抵扣资格认定等重大权益</w:t>
      </w:r>
      <w:r>
        <w:rPr>
          <w:rFonts w:hint="eastAsia" w:eastAsia="方正仿宋_GBK"/>
          <w:color w:val="000000"/>
          <w:kern w:val="32"/>
          <w:sz w:val="32"/>
          <w:szCs w:val="32"/>
        </w:rPr>
        <w:t>，</w:t>
      </w:r>
      <w:r>
        <w:rPr>
          <w:rFonts w:eastAsia="方正仿宋_GBK"/>
          <w:color w:val="000000"/>
          <w:kern w:val="32"/>
          <w:sz w:val="32"/>
          <w:szCs w:val="32"/>
        </w:rPr>
        <w:t>请各业务主管单位和民办非企业单位</w:t>
      </w:r>
      <w:r>
        <w:rPr>
          <w:rFonts w:eastAsia="方正仿宋_GBK"/>
          <w:color w:val="000000"/>
          <w:kern w:val="32"/>
          <w:sz w:val="32"/>
        </w:rPr>
        <w:t>高度重视年检工作。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（二）</w:t>
      </w:r>
      <w:r>
        <w:rPr>
          <w:rFonts w:eastAsia="方正仿宋_GBK"/>
          <w:color w:val="000000"/>
          <w:kern w:val="32"/>
          <w:sz w:val="32"/>
        </w:rPr>
        <w:t>欢迎社会各界对</w:t>
      </w:r>
      <w:r>
        <w:rPr>
          <w:rFonts w:eastAsia="方正仿宋_GBK"/>
          <w:color w:val="000000"/>
          <w:kern w:val="32"/>
          <w:sz w:val="32"/>
          <w:szCs w:val="32"/>
        </w:rPr>
        <w:t>民办非企业单位</w:t>
      </w:r>
      <w:r>
        <w:rPr>
          <w:rFonts w:eastAsia="方正仿宋_GBK"/>
          <w:color w:val="000000"/>
          <w:kern w:val="32"/>
          <w:sz w:val="32"/>
        </w:rPr>
        <w:t>年检工作进行监督，并提出宝贵的意见建议，我们将不断改进工作。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（</w:t>
      </w:r>
      <w:r>
        <w:rPr>
          <w:rFonts w:eastAsia="方正仿宋_GBK"/>
          <w:color w:val="000000"/>
          <w:kern w:val="32"/>
          <w:sz w:val="32"/>
          <w:szCs w:val="32"/>
        </w:rPr>
        <w:t>三</w:t>
      </w:r>
      <w:r>
        <w:rPr>
          <w:rFonts w:hint="eastAsia" w:eastAsia="方正仿宋_GBK"/>
          <w:color w:val="000000"/>
          <w:kern w:val="32"/>
          <w:sz w:val="32"/>
          <w:szCs w:val="32"/>
        </w:rPr>
        <w:t>）</w:t>
      </w:r>
      <w:r>
        <w:rPr>
          <w:rFonts w:eastAsia="方正仿宋_GBK"/>
          <w:color w:val="000000"/>
          <w:kern w:val="32"/>
          <w:sz w:val="32"/>
          <w:szCs w:val="32"/>
        </w:rPr>
        <w:t>民办非企业单位在参加年检过程中对相关业务和遇到问题，可通过以下方式咨询：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1.年检工作报告书填报咨询：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电话：89188052，联系人：周影</w:t>
      </w:r>
    </w:p>
    <w:p>
      <w:pPr>
        <w:overflowPunct w:val="0"/>
        <w:snapToGrid w:val="0"/>
        <w:spacing w:line="550" w:lineRule="exact"/>
        <w:ind w:firstLine="1600" w:firstLineChars="5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89188051，联系人：王渝</w:t>
      </w:r>
    </w:p>
    <w:p>
      <w:pPr>
        <w:overflowPunct w:val="0"/>
        <w:snapToGrid w:val="0"/>
        <w:spacing w:line="550" w:lineRule="exact"/>
        <w:ind w:firstLine="1600" w:firstLineChars="5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88563106，联系人：潘奇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邮箱：</w:t>
      </w:r>
      <w:r>
        <w:rPr>
          <w:rFonts w:hint="eastAsia" w:eastAsia="方正仿宋_GBK"/>
          <w:kern w:val="32"/>
          <w:sz w:val="32"/>
          <w:szCs w:val="32"/>
        </w:rPr>
        <w:t>cqsheguanju@163.com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地址：渝北区民安大道489号；邮编：401121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2.市民政局行政服务中心接件咨询：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电话：89188030，联系人：沈杰、李杜蓉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89188031，联系人：钟运玲、梁艳梅</w:t>
      </w:r>
    </w:p>
    <w:p>
      <w:pPr>
        <w:overflowPunct w:val="0"/>
        <w:snapToGrid w:val="0"/>
        <w:spacing w:line="550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3.网上填报系统操作问题咨询：</w:t>
      </w:r>
    </w:p>
    <w:p>
      <w:pPr>
        <w:overflowPunct w:val="0"/>
        <w:snapToGrid w:val="0"/>
        <w:spacing w:line="550" w:lineRule="exact"/>
        <w:ind w:firstLine="640" w:firstLineChars="200"/>
        <w:jc w:val="left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电话：</w:t>
      </w:r>
      <w:r>
        <w:rPr>
          <w:rFonts w:eastAsia="方正仿宋_GBK"/>
          <w:color w:val="000000"/>
          <w:kern w:val="32"/>
          <w:sz w:val="32"/>
          <w:szCs w:val="32"/>
        </w:rPr>
        <w:t>89188101</w:t>
      </w:r>
      <w:r>
        <w:rPr>
          <w:rFonts w:hint="eastAsia" w:eastAsia="方正仿宋_GBK"/>
          <w:color w:val="000000"/>
          <w:kern w:val="32"/>
          <w:sz w:val="32"/>
          <w:szCs w:val="32"/>
        </w:rPr>
        <w:t>，联系人：张中豪</w:t>
      </w:r>
    </w:p>
    <w:p>
      <w:pPr>
        <w:overflowPunct w:val="0"/>
        <w:snapToGrid w:val="0"/>
        <w:spacing w:line="550" w:lineRule="exact"/>
        <w:ind w:firstLine="640" w:firstLineChars="200"/>
        <w:jc w:val="left"/>
        <w:rPr>
          <w:rFonts w:hint="eastAsia" w:eastAsia="方正仿宋_GBK"/>
          <w:color w:val="000000"/>
          <w:kern w:val="32"/>
          <w:sz w:val="32"/>
          <w:szCs w:val="32"/>
        </w:rPr>
      </w:pPr>
    </w:p>
    <w:p>
      <w:pPr>
        <w:overflowPunct w:val="0"/>
        <w:snapToGrid w:val="0"/>
        <w:spacing w:line="550" w:lineRule="exact"/>
        <w:ind w:firstLine="640" w:firstLineChars="200"/>
        <w:jc w:val="left"/>
        <w:rPr>
          <w:rFonts w:eastAsia="方正仿宋_GBK"/>
          <w:color w:val="000000"/>
          <w:kern w:val="32"/>
          <w:sz w:val="32"/>
          <w:szCs w:val="32"/>
        </w:rPr>
      </w:pPr>
    </w:p>
    <w:p>
      <w:pPr>
        <w:tabs>
          <w:tab w:val="left" w:pos="3393"/>
          <w:tab w:val="left" w:pos="9413"/>
        </w:tabs>
        <w:overflowPunct w:val="0"/>
        <w:snapToGrid w:val="0"/>
        <w:spacing w:line="550" w:lineRule="exact"/>
        <w:ind w:firstLine="1600" w:firstLineChars="500"/>
        <w:rPr>
          <w:rFonts w:eastAsia="方正仿宋_GBK"/>
          <w:bCs/>
          <w:color w:val="000000"/>
          <w:kern w:val="32"/>
          <w:sz w:val="32"/>
          <w:szCs w:val="32"/>
        </w:rPr>
      </w:pPr>
    </w:p>
    <w:p>
      <w:pPr>
        <w:tabs>
          <w:tab w:val="left" w:pos="6345"/>
        </w:tabs>
        <w:overflowPunct w:val="0"/>
        <w:snapToGrid w:val="0"/>
        <w:spacing w:line="550" w:lineRule="exact"/>
        <w:ind w:firstLine="645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 xml:space="preserve">   　　　  </w:t>
      </w:r>
      <w:r>
        <w:rPr>
          <w:rFonts w:hint="eastAsia" w:eastAsia="方正仿宋_GBK"/>
          <w:color w:val="000000"/>
          <w:kern w:val="32"/>
          <w:sz w:val="32"/>
          <w:szCs w:val="32"/>
        </w:rPr>
        <w:t xml:space="preserve">                  </w:t>
      </w:r>
      <w:r>
        <w:rPr>
          <w:rFonts w:eastAsia="方正仿宋_GBK"/>
          <w:color w:val="000000"/>
          <w:kern w:val="32"/>
          <w:sz w:val="32"/>
          <w:szCs w:val="32"/>
        </w:rPr>
        <w:t>重庆市民政局</w:t>
      </w:r>
    </w:p>
    <w:p>
      <w:pPr>
        <w:tabs>
          <w:tab w:val="left" w:pos="6345"/>
        </w:tabs>
        <w:overflowPunct w:val="0"/>
        <w:snapToGrid w:val="0"/>
        <w:spacing w:line="550" w:lineRule="exact"/>
        <w:ind w:firstLine="5120" w:firstLineChars="1600"/>
      </w:pPr>
      <w:r>
        <w:rPr>
          <w:rFonts w:hint="eastAsia" w:eastAsia="方正仿宋_GBK"/>
          <w:color w:val="000000"/>
          <w:kern w:val="32"/>
          <w:sz w:val="32"/>
          <w:szCs w:val="32"/>
        </w:rPr>
        <w:t>2022</w:t>
      </w:r>
      <w:r>
        <w:rPr>
          <w:rFonts w:eastAsia="方正仿宋_GBK"/>
          <w:color w:val="000000"/>
          <w:kern w:val="32"/>
          <w:sz w:val="32"/>
          <w:szCs w:val="32"/>
        </w:rPr>
        <w:t>年</w:t>
      </w:r>
      <w:r>
        <w:rPr>
          <w:rFonts w:hint="eastAsia" w:eastAsia="方正仿宋_GBK"/>
          <w:color w:val="000000"/>
          <w:kern w:val="32"/>
          <w:sz w:val="32"/>
          <w:szCs w:val="32"/>
        </w:rPr>
        <w:t>4</w:t>
      </w:r>
      <w:r>
        <w:rPr>
          <w:rFonts w:eastAsia="方正仿宋_GBK"/>
          <w:color w:val="000000"/>
          <w:kern w:val="32"/>
          <w:sz w:val="32"/>
          <w:szCs w:val="32"/>
        </w:rPr>
        <w:t>月</w:t>
      </w:r>
      <w:r>
        <w:rPr>
          <w:rFonts w:hint="eastAsia" w:eastAsia="方正仿宋_GBK"/>
          <w:color w:val="000000"/>
          <w:kern w:val="32"/>
          <w:sz w:val="32"/>
          <w:szCs w:val="32"/>
        </w:rPr>
        <w:t>25</w:t>
      </w:r>
      <w:r>
        <w:rPr>
          <w:rFonts w:eastAsia="方正仿宋_GBK"/>
          <w:color w:val="000000"/>
          <w:kern w:val="3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418" w:left="1588" w:header="851" w:footer="1474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328" w:yAlign="top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7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280" w:firstLineChars="10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8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yOThjMGRiOWFlNTE2ZGFmMzkzZTQxMzNhOWRmNGUifQ=="/>
  </w:docVars>
  <w:rsids>
    <w:rsidRoot w:val="00093ED2"/>
    <w:rsid w:val="00093ED2"/>
    <w:rsid w:val="000E2B5E"/>
    <w:rsid w:val="001C3750"/>
    <w:rsid w:val="00322E9B"/>
    <w:rsid w:val="00443C16"/>
    <w:rsid w:val="005266C2"/>
    <w:rsid w:val="005D70FB"/>
    <w:rsid w:val="00687D9C"/>
    <w:rsid w:val="006A58E8"/>
    <w:rsid w:val="0078019F"/>
    <w:rsid w:val="007E633D"/>
    <w:rsid w:val="00831E33"/>
    <w:rsid w:val="00861D51"/>
    <w:rsid w:val="0092411C"/>
    <w:rsid w:val="00A40D24"/>
    <w:rsid w:val="00AF4136"/>
    <w:rsid w:val="00C40F42"/>
    <w:rsid w:val="00DA416D"/>
    <w:rsid w:val="00DB0177"/>
    <w:rsid w:val="307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uiPriority w:val="0"/>
  </w:style>
  <w:style w:type="character" w:customStyle="1" w:styleId="10">
    <w:name w:val="页脚 Char"/>
    <w:basedOn w:val="7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wlett%20Packard\AppData\Roaming\Microsoft\Templates\&#28189;&#27665;&#21457;20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渝民发2019</Template>
  <Pages>8</Pages>
  <Words>3338</Words>
  <Characters>3588</Characters>
  <Lines>26</Lines>
  <Paragraphs>7</Paragraphs>
  <TotalTime>3</TotalTime>
  <ScaleCrop>false</ScaleCrop>
  <LinksUpToDate>false</LinksUpToDate>
  <CharactersWithSpaces>3627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2022-04-27T09:22:00Z</dcterms:created>
  <dc:creator>黄梅</dc:creator>
  <cp:lastModifiedBy>木马</cp:lastModifiedBy>
  <cp:lastPrinted>2022-04-27T09:22:00Z</cp:lastPrinted>
  <dcterms:modified xsi:type="dcterms:W3CDTF">2024-06-12T10:49:27Z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7B515C9910534856A46F7C93A318C913_12</vt:lpwstr>
  </property>
</Properties>
</file>