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jc w:val="center"/>
        <w:rPr>
          <w:rFonts w:ascii="Times New Roman" w:hAnsi="Times New Roman" w:eastAsia="仿宋_GB2312" w:cs="Times New Roman"/>
          <w:sz w:val="32"/>
          <w:szCs w:val="32"/>
        </w:rPr>
      </w:pPr>
    </w:p>
    <w:p>
      <w:pPr>
        <w:snapToGrid w:val="0"/>
        <w:spacing w:line="578" w:lineRule="exact"/>
        <w:jc w:val="center"/>
        <w:rPr>
          <w:rFonts w:ascii="Times New Roman" w:hAnsi="Times New Roman" w:eastAsia="仿宋_GB2312" w:cs="Times New Roman"/>
          <w:sz w:val="32"/>
          <w:szCs w:val="32"/>
        </w:rPr>
      </w:pP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2"/>
        <w:rPr>
          <w:rFonts w:hint="default" w:ascii="方正小标宋_GBK" w:hAnsi="方正小标宋_GBK" w:eastAsia="方正小标宋_GBK" w:cs="方正小标宋_GBK"/>
          <w:b w:val="0"/>
          <w:color w:val="333333"/>
          <w:sz w:val="44"/>
          <w:szCs w:val="44"/>
        </w:rPr>
      </w:pPr>
      <w:r>
        <w:rPr>
          <w:rFonts w:ascii="方正小标宋_GBK" w:hAnsi="方正小标宋_GBK" w:eastAsia="方正小标宋_GBK" w:cs="方正小标宋_GBK"/>
          <w:b w:val="0"/>
          <w:color w:val="333333"/>
          <w:sz w:val="44"/>
          <w:szCs w:val="44"/>
        </w:rPr>
        <w:t>重庆市民政局</w:t>
      </w:r>
    </w:p>
    <w:p>
      <w:pPr>
        <w:pStyle w:val="2"/>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2"/>
        <w:rPr>
          <w:rStyle w:val="12"/>
          <w:rFonts w:hint="default" w:ascii="方正小标宋_GBK" w:hAnsi="方正小标宋_GBK" w:eastAsia="方正小标宋_GBK" w:cs="方正小标宋_GBK"/>
          <w:b w:val="0"/>
          <w:color w:val="333333"/>
          <w:sz w:val="44"/>
          <w:szCs w:val="44"/>
        </w:rPr>
      </w:pPr>
      <w:r>
        <w:rPr>
          <w:rFonts w:ascii="方正小标宋_GBK" w:hAnsi="方正小标宋_GBK" w:eastAsia="方正小标宋_GBK" w:cs="方正小标宋_GBK"/>
          <w:b w:val="0"/>
          <w:color w:val="333333"/>
          <w:sz w:val="44"/>
          <w:szCs w:val="44"/>
        </w:rPr>
        <w:t>关于印发《</w:t>
      </w:r>
      <w:r>
        <w:rPr>
          <w:rStyle w:val="12"/>
          <w:rFonts w:ascii="方正小标宋_GBK" w:hAnsi="方正小标宋_GBK" w:eastAsia="方正小标宋_GBK" w:cs="方正小标宋_GBK"/>
          <w:b w:val="0"/>
          <w:color w:val="333333"/>
          <w:sz w:val="44"/>
          <w:szCs w:val="44"/>
        </w:rPr>
        <w:t>重庆市养老服务市场失信联合</w:t>
      </w:r>
    </w:p>
    <w:p>
      <w:pPr>
        <w:pStyle w:val="2"/>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2"/>
        <w:rPr>
          <w:rFonts w:hint="default" w:ascii="方正小标宋_GBK" w:hAnsi="方正小标宋_GBK" w:eastAsia="方正小标宋_GBK" w:cs="方正小标宋_GBK"/>
          <w:sz w:val="44"/>
          <w:szCs w:val="44"/>
        </w:rPr>
      </w:pPr>
      <w:r>
        <w:rPr>
          <w:rStyle w:val="12"/>
          <w:rFonts w:ascii="方正小标宋_GBK" w:hAnsi="方正小标宋_GBK" w:eastAsia="方正小标宋_GBK" w:cs="方正小标宋_GBK"/>
          <w:b w:val="0"/>
          <w:color w:val="333333"/>
          <w:sz w:val="44"/>
          <w:szCs w:val="44"/>
        </w:rPr>
        <w:t>惩戒对象名单管理实施办法</w:t>
      </w:r>
      <w:r>
        <w:rPr>
          <w:rFonts w:ascii="方正小标宋_GBK" w:hAnsi="方正小标宋_GBK" w:eastAsia="方正小标宋_GBK" w:cs="方正小标宋_GBK"/>
          <w:b w:val="0"/>
          <w:color w:val="333333"/>
          <w:sz w:val="44"/>
          <w:szCs w:val="44"/>
        </w:rPr>
        <w:t>》的通知</w:t>
      </w:r>
    </w:p>
    <w:p>
      <w:pPr>
        <w:snapToGrid w:val="0"/>
        <w:spacing w:line="578" w:lineRule="exact"/>
        <w:jc w:val="center"/>
        <w:rPr>
          <w:rFonts w:ascii="Times New Roman" w:hAnsi="Times New Roman" w:eastAsia="方正仿宋_GBK" w:cs="Times New Roman"/>
          <w:sz w:val="32"/>
          <w:szCs w:val="32"/>
        </w:rPr>
      </w:pPr>
      <w:bookmarkStart w:id="0" w:name="_GoBack"/>
      <w:r>
        <w:rPr>
          <w:rFonts w:ascii="Times New Roman" w:hAnsi="Times New Roman" w:eastAsia="方正仿宋_GBK" w:cs="Times New Roman"/>
          <w:sz w:val="32"/>
          <w:szCs w:val="32"/>
        </w:rPr>
        <w:t>渝民发〔20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16</w:t>
      </w:r>
      <w:r>
        <w:rPr>
          <w:rFonts w:ascii="Times New Roman" w:hAnsi="Times New Roman" w:eastAsia="方正仿宋_GBK" w:cs="Times New Roman"/>
          <w:sz w:val="32"/>
          <w:szCs w:val="32"/>
        </w:rPr>
        <w:t>号</w:t>
      </w:r>
    </w:p>
    <w:bookmarkEnd w:id="0"/>
    <w:p>
      <w:pPr>
        <w:pStyle w:val="2"/>
        <w:widowControl/>
        <w:adjustRightInd w:val="0"/>
        <w:snapToGrid w:val="0"/>
        <w:spacing w:beforeAutospacing="0" w:afterAutospacing="0" w:line="550" w:lineRule="exact"/>
        <w:ind w:firstLine="591"/>
        <w:rPr>
          <w:rFonts w:hint="default" w:ascii="方正仿宋_GBK" w:hAnsi="方正仿宋_GBK" w:eastAsia="方正仿宋_GBK" w:cs="方正仿宋_GBK"/>
          <w:b w:val="0"/>
          <w:color w:val="333333"/>
          <w:sz w:val="32"/>
          <w:szCs w:val="32"/>
        </w:rPr>
      </w:pP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rPr>
          <w:rFonts w:eastAsia="方正仿宋_GBK"/>
          <w:sz w:val="32"/>
          <w:szCs w:val="32"/>
        </w:rPr>
      </w:pPr>
      <w:r>
        <w:rPr>
          <w:rFonts w:hint="eastAsia" w:eastAsia="方正仿宋_GBK"/>
          <w:sz w:val="32"/>
          <w:szCs w:val="32"/>
        </w:rPr>
        <w:t>各区县（自治县）民政局，两江新区社会保障局、重庆高新区公共事务局、万盛经开区民政局，相关直属单位：</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《重庆市养老服务市场失信联合惩戒对象名单管理办法》已经中共重庆市民政局党组</w:t>
      </w:r>
      <w:r>
        <w:rPr>
          <w:rFonts w:hint="eastAsia" w:ascii="Times New Roman" w:hAnsi="Times New Roman" w:eastAsia="方正仿宋_GBK"/>
          <w:bCs/>
          <w:color w:val="333333"/>
          <w:sz w:val="32"/>
          <w:szCs w:val="32"/>
        </w:rPr>
        <w:t>2021年第54</w:t>
      </w:r>
      <w:r>
        <w:rPr>
          <w:rFonts w:hint="eastAsia" w:ascii="方正仿宋_GBK" w:hAnsi="方正仿宋_GBK" w:eastAsia="方正仿宋_GBK" w:cs="方正仿宋_GBK"/>
          <w:color w:val="333333"/>
          <w:sz w:val="32"/>
          <w:szCs w:val="32"/>
        </w:rPr>
        <w:t>次会议审议通过，现印发你们，请结合实际抓好贯彻落实。</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jc w:val="both"/>
        <w:textAlignment w:val="auto"/>
        <w:rPr>
          <w:rFonts w:hint="eastAsia" w:ascii="方正仿宋_GBK" w:hAnsi="方正仿宋_GBK" w:eastAsia="方正仿宋_GBK" w:cs="方正仿宋_GBK"/>
          <w:color w:val="333333"/>
          <w:sz w:val="32"/>
          <w:szCs w:val="32"/>
        </w:rPr>
      </w:pP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jc w:val="both"/>
        <w:textAlignment w:val="auto"/>
        <w:rPr>
          <w:rFonts w:ascii="方正仿宋_GBK" w:hAnsi="方正仿宋_GBK" w:eastAsia="方正仿宋_GBK" w:cs="方正仿宋_GBK"/>
          <w:color w:val="333333"/>
          <w:sz w:val="32"/>
          <w:szCs w:val="32"/>
        </w:rPr>
      </w:pPr>
    </w:p>
    <w:p>
      <w:pPr>
        <w:pStyle w:val="10"/>
        <w:keepNext w:val="0"/>
        <w:keepLines w:val="0"/>
        <w:pageBreakBefore w:val="0"/>
        <w:widowControl/>
        <w:kinsoku/>
        <w:wordWrap w:val="0"/>
        <w:overflowPunct/>
        <w:topLinePunct w:val="0"/>
        <w:autoSpaceDE/>
        <w:autoSpaceDN/>
        <w:bidi w:val="0"/>
        <w:adjustRightInd w:val="0"/>
        <w:snapToGrid w:val="0"/>
        <w:spacing w:before="0" w:beforeAutospacing="0" w:after="0" w:afterAutospacing="0" w:line="600" w:lineRule="exact"/>
        <w:ind w:left="0" w:leftChars="0" w:right="0" w:rightChars="0"/>
        <w:jc w:val="right"/>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xml:space="preserve">                                重庆市民政局</w:t>
      </w:r>
      <w:r>
        <w:rPr>
          <w:rFonts w:hint="eastAsia" w:ascii="方正仿宋_GBK" w:hAnsi="方正仿宋_GBK" w:eastAsia="方正仿宋_GBK" w:cs="方正仿宋_GBK"/>
          <w:color w:val="333333"/>
          <w:sz w:val="32"/>
          <w:szCs w:val="32"/>
          <w:lang w:val="en-US" w:eastAsia="zh-CN"/>
        </w:rPr>
        <w:t xml:space="preserve">  </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right="0" w:rightChars="0"/>
        <w:jc w:val="right"/>
        <w:textAlignment w:val="auto"/>
        <w:rPr>
          <w:rFonts w:ascii="Times New Roman" w:hAnsi="Times New Roman" w:eastAsia="方正仿宋_GBK"/>
          <w:bCs/>
          <w:color w:val="333333"/>
          <w:sz w:val="32"/>
          <w:szCs w:val="32"/>
        </w:rPr>
      </w:pPr>
      <w:r>
        <w:rPr>
          <w:rFonts w:hint="eastAsia" w:ascii="Times New Roman" w:hAnsi="Times New Roman" w:eastAsia="方正仿宋_GBK"/>
          <w:bCs/>
          <w:color w:val="333333"/>
          <w:sz w:val="32"/>
          <w:szCs w:val="32"/>
        </w:rPr>
        <w:t xml:space="preserve">                               2021年12月24日</w:t>
      </w:r>
    </w:p>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Style w:val="12"/>
          <w:rFonts w:ascii="方正小标宋_GBK" w:hAnsi="方正小标宋_GBK" w:eastAsia="方正小标宋_GBK" w:cs="方正小标宋_GBK"/>
          <w:b w:val="0"/>
          <w:color w:val="333333"/>
          <w:sz w:val="44"/>
          <w:szCs w:val="44"/>
        </w:rPr>
      </w:pPr>
    </w:p>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Style w:val="12"/>
          <w:rFonts w:ascii="方正小标宋_GBK" w:hAnsi="方正小标宋_GBK" w:eastAsia="方正小标宋_GBK" w:cs="方正小标宋_GBK"/>
          <w:b w:val="0"/>
          <w:color w:val="333333"/>
          <w:sz w:val="44"/>
          <w:szCs w:val="44"/>
        </w:rPr>
      </w:pPr>
    </w:p>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Style w:val="12"/>
          <w:rFonts w:ascii="方正小标宋_GBK" w:hAnsi="方正小标宋_GBK" w:eastAsia="方正小标宋_GBK" w:cs="方正小标宋_GBK"/>
          <w:b w:val="0"/>
          <w:color w:val="333333"/>
          <w:sz w:val="44"/>
          <w:szCs w:val="44"/>
        </w:rPr>
      </w:pPr>
    </w:p>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Style w:val="12"/>
          <w:rFonts w:ascii="方正小标宋_GBK" w:hAnsi="方正小标宋_GBK" w:eastAsia="方正小标宋_GBK" w:cs="方正小标宋_GBK"/>
          <w:b w:val="0"/>
          <w:color w:val="333333"/>
          <w:sz w:val="44"/>
          <w:szCs w:val="44"/>
        </w:rPr>
      </w:pPr>
    </w:p>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Style w:val="12"/>
          <w:rFonts w:ascii="方正小标宋_GBK" w:hAnsi="方正小标宋_GBK" w:eastAsia="方正小标宋_GBK" w:cs="方正小标宋_GBK"/>
          <w:b w:val="0"/>
          <w:color w:val="333333"/>
          <w:sz w:val="44"/>
          <w:szCs w:val="44"/>
        </w:rPr>
      </w:pPr>
    </w:p>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Style w:val="12"/>
          <w:rFonts w:hint="default" w:ascii="方正小标宋_GBK" w:hAnsi="方正小标宋_GBK" w:eastAsia="方正小标宋_GBK" w:cs="方正小标宋_GBK"/>
          <w:b w:val="0"/>
          <w:color w:val="333333"/>
          <w:sz w:val="44"/>
          <w:szCs w:val="44"/>
        </w:rPr>
      </w:pPr>
      <w:r>
        <w:rPr>
          <w:rStyle w:val="12"/>
          <w:rFonts w:ascii="方正小标宋_GBK" w:hAnsi="方正小标宋_GBK" w:eastAsia="方正小标宋_GBK" w:cs="方正小标宋_GBK"/>
          <w:b w:val="0"/>
          <w:color w:val="333333"/>
          <w:sz w:val="44"/>
          <w:szCs w:val="44"/>
        </w:rPr>
        <w:t>重庆市养老服务市场失信联合惩戒对象</w:t>
      </w:r>
    </w:p>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Style w:val="12"/>
          <w:rFonts w:ascii="方正小标宋_GBK" w:hAnsi="方正小标宋_GBK" w:eastAsia="方正小标宋_GBK" w:cs="方正小标宋_GBK"/>
          <w:b w:val="0"/>
          <w:color w:val="333333"/>
          <w:sz w:val="44"/>
          <w:szCs w:val="44"/>
        </w:rPr>
      </w:pPr>
      <w:r>
        <w:rPr>
          <w:rStyle w:val="12"/>
          <w:rFonts w:ascii="方正小标宋_GBK" w:hAnsi="方正小标宋_GBK" w:eastAsia="方正小标宋_GBK" w:cs="方正小标宋_GBK"/>
          <w:b w:val="0"/>
          <w:color w:val="333333"/>
          <w:sz w:val="44"/>
          <w:szCs w:val="44"/>
        </w:rPr>
        <w:t>名单管理实施办法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textAlignment w:val="auto"/>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Style w:val="12"/>
          <w:rFonts w:hint="eastAsia" w:ascii="方正黑体_GBK" w:hAnsi="方正黑体_GBK" w:eastAsia="方正黑体_GBK" w:cs="方正黑体_GBK"/>
          <w:b w:val="0"/>
          <w:bCs/>
          <w:color w:val="333333"/>
          <w:sz w:val="32"/>
          <w:szCs w:val="32"/>
        </w:rPr>
      </w:pPr>
      <w:r>
        <w:rPr>
          <w:rStyle w:val="12"/>
          <w:rFonts w:hint="eastAsia" w:ascii="方正黑体_GBK" w:hAnsi="方正黑体_GBK" w:eastAsia="方正黑体_GBK" w:cs="方正黑体_GBK"/>
          <w:b w:val="0"/>
          <w:bCs/>
          <w:color w:val="333333"/>
          <w:sz w:val="32"/>
          <w:szCs w:val="32"/>
        </w:rPr>
        <w:t>第一章  总  则</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Style w:val="12"/>
          <w:rFonts w:hint="eastAsia" w:ascii="方正黑体_GBK" w:hAnsi="方正黑体_GBK" w:eastAsia="方正黑体_GBK" w:cs="方正黑体_GBK"/>
          <w:b w:val="0"/>
          <w:bCs/>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42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333333"/>
          <w:sz w:val="32"/>
          <w:szCs w:val="32"/>
        </w:rPr>
        <w:t>第一条</w:t>
      </w:r>
      <w:r>
        <w:rPr>
          <w:rFonts w:hint="eastAsia" w:ascii="方正仿宋_GBK" w:hAnsi="方正仿宋_GBK" w:eastAsia="方正仿宋_GBK" w:cs="方正仿宋_GBK"/>
          <w:color w:val="333333"/>
          <w:sz w:val="32"/>
          <w:szCs w:val="32"/>
        </w:rPr>
        <w:t xml:space="preserve">  为规范养老服务市场秩序，加快构建养老服务信用体系，全面建立养老服务市场主体信用记录，促进养老服务高质量发展，根据《</w:t>
      </w:r>
      <w:r>
        <w:rPr>
          <w:rFonts w:hint="eastAsia" w:ascii="方正仿宋_GBK" w:hAnsi="方正仿宋_GBK" w:eastAsia="方正仿宋_GBK" w:cs="方正仿宋_GBK"/>
          <w:sz w:val="32"/>
          <w:szCs w:val="32"/>
        </w:rPr>
        <w:t>民政部关于印发养老服务市场失信联合惩戒对象名单管理办法（试行）的通知》（民发</w:t>
      </w:r>
      <w:r>
        <w:rPr>
          <w:rFonts w:hint="eastAsia" w:ascii="Times New Roman" w:hAnsi="Times New Roman" w:eastAsia="方正仿宋_GBK"/>
          <w:color w:val="333333"/>
          <w:sz w:val="32"/>
          <w:szCs w:val="32"/>
        </w:rPr>
        <w:t>〔2019〕103</w:t>
      </w:r>
      <w:r>
        <w:rPr>
          <w:rFonts w:hint="eastAsia" w:ascii="方正仿宋_GBK" w:hAnsi="方正仿宋_GBK" w:eastAsia="方正仿宋_GBK" w:cs="方正仿宋_GBK"/>
          <w:sz w:val="32"/>
          <w:szCs w:val="32"/>
        </w:rPr>
        <w:t>号）等政策规定以及</w:t>
      </w:r>
      <w:r>
        <w:rPr>
          <w:rFonts w:hint="eastAsia" w:ascii="方正仿宋_GBK" w:hAnsi="方正仿宋_GBK" w:eastAsia="方正仿宋_GBK" w:cs="方正仿宋_GBK"/>
          <w:color w:val="333333"/>
          <w:sz w:val="32"/>
          <w:szCs w:val="32"/>
        </w:rPr>
        <w:t>有关法律法规，制定本办法。</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42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333333"/>
          <w:sz w:val="32"/>
          <w:szCs w:val="32"/>
        </w:rPr>
        <w:t>第二条</w:t>
      </w:r>
      <w:r>
        <w:rPr>
          <w:rFonts w:hint="eastAsia" w:ascii="方正仿宋_GBK" w:hAnsi="方正仿宋_GBK" w:eastAsia="方正仿宋_GBK" w:cs="方正仿宋_GBK"/>
          <w:color w:val="333333"/>
          <w:sz w:val="32"/>
          <w:szCs w:val="32"/>
        </w:rPr>
        <w:t xml:space="preserve">  本办法所称的养老服务市场失信联合惩戒对象名单（以下简称“联合惩戒对象名单”）管理，是指民政部门将严重违法失信的养老服务市场主体和从业人员列入联合惩戒对象名单，在一定期限内向社会公布，实施信用约束、联合惩戒等措施的统称。</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本办法所称的养老服务市场主体包括养老机构、乡镇（街道）养老服务中心、社区养老服务站、经营范围和组织章程中包含养老服务内容的企业（社会组织）；从业人员包括上述市场主体的法定代表人、主要负责人、管理人员以及养老护理员等相关人员。</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本市行政区域内养老服务市场失信联合惩戒对象名单的认定、列入、管理、使用、移出等，适用本办法。法律、法规、规章另有规定的，从其规定。</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333333"/>
          <w:sz w:val="32"/>
          <w:szCs w:val="32"/>
        </w:rPr>
        <w:t>第三条</w:t>
      </w:r>
      <w:r>
        <w:rPr>
          <w:rFonts w:hint="eastAsia" w:ascii="方正仿宋_GBK" w:hAnsi="方正仿宋_GBK" w:eastAsia="方正仿宋_GBK" w:cs="方正仿宋_GBK"/>
          <w:color w:val="333333"/>
          <w:sz w:val="32"/>
          <w:szCs w:val="32"/>
        </w:rPr>
        <w:t xml:space="preserve">  联合惩戒对象名单管理应当遵循依法监管、客观公正、公开透明、保护权益、及时准确的原则。</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第四条</w:t>
      </w:r>
      <w:r>
        <w:rPr>
          <w:rFonts w:hint="eastAsia" w:ascii="方正仿宋_GBK" w:hAnsi="方正仿宋_GBK" w:eastAsia="方正仿宋_GBK" w:cs="方正仿宋_GBK"/>
          <w:color w:val="333333"/>
          <w:sz w:val="32"/>
          <w:szCs w:val="32"/>
        </w:rPr>
        <w:t xml:space="preserve">  联合惩戒对象名单实施分级管理。市民政局负责指导区县民政部门开展联合惩戒对象名单管理工作，依托“市智慧养老云平台”建立全市统一的联合惩戒对象名单管理系统，对违法失信行为信息进行在线披露和信息共享。</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Theme="minorEastAsia" w:hAnsiTheme="minorEastAsia"/>
          <w:sz w:val="32"/>
          <w:szCs w:val="32"/>
        </w:rPr>
      </w:pPr>
      <w:r>
        <w:rPr>
          <w:rFonts w:hint="eastAsia" w:ascii="方正仿宋_GBK" w:hAnsi="方正仿宋_GBK" w:eastAsia="方正仿宋_GBK" w:cs="方正仿宋_GBK"/>
          <w:color w:val="333333"/>
          <w:sz w:val="32"/>
          <w:szCs w:val="32"/>
        </w:rPr>
        <w:t>按照“谁审批、谁负责、谁监管、谁认定、谁列入”的原则，区县民政部门负责辖区内联合惩戒对象名单的认定、管理工作，向社会公布本辖区联合惩戒对象名单，进行信息共享，向行业协会、信用服务机构、金融机构等开放联合惩戒对象名单信息。自认定之日起</w:t>
      </w:r>
      <w:r>
        <w:rPr>
          <w:rFonts w:ascii="Times New Roman" w:hAnsi="Times New Roman" w:eastAsia="方正仿宋_GBK"/>
          <w:color w:val="333333"/>
          <w:sz w:val="32"/>
          <w:szCs w:val="32"/>
        </w:rPr>
        <w:t>5</w:t>
      </w:r>
      <w:r>
        <w:rPr>
          <w:rFonts w:hint="eastAsia" w:ascii="方正仿宋_GBK" w:hAnsi="方正仿宋_GBK" w:eastAsia="方正仿宋_GBK" w:cs="方正仿宋_GBK"/>
          <w:color w:val="333333"/>
          <w:sz w:val="32"/>
          <w:szCs w:val="32"/>
        </w:rPr>
        <w:t>个工作日内，将认定名单及相关信息报送至市民政局。</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Style w:val="12"/>
          <w:rFonts w:hint="eastAsia" w:ascii="方正黑体_GBK" w:hAnsi="方正黑体_GBK" w:eastAsia="方正黑体_GBK" w:cs="方正黑体_GBK"/>
          <w:b w:val="0"/>
          <w:bCs/>
          <w:color w:val="333333"/>
          <w:sz w:val="32"/>
          <w:szCs w:val="32"/>
        </w:rPr>
      </w:pPr>
      <w:r>
        <w:rPr>
          <w:rStyle w:val="12"/>
          <w:rFonts w:hint="eastAsia" w:ascii="方正黑体_GBK" w:hAnsi="方正黑体_GBK" w:eastAsia="方正黑体_GBK" w:cs="方正黑体_GBK"/>
          <w:b w:val="0"/>
          <w:bCs/>
          <w:color w:val="333333"/>
          <w:sz w:val="32"/>
          <w:szCs w:val="32"/>
        </w:rPr>
        <w:t>第二章  名单列入</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Style w:val="12"/>
          <w:rFonts w:hint="eastAsia" w:ascii="方正黑体_GBK" w:hAnsi="方正黑体_GBK" w:eastAsia="方正黑体_GBK" w:cs="方正黑体_GBK"/>
          <w:b w:val="0"/>
          <w:bCs/>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第五条</w:t>
      </w:r>
      <w:r>
        <w:rPr>
          <w:rFonts w:hint="eastAsia" w:ascii="方正仿宋_GBK" w:hAnsi="方正仿宋_GBK" w:eastAsia="方正仿宋_GBK" w:cs="方正仿宋_GBK"/>
          <w:color w:val="333333"/>
          <w:sz w:val="32"/>
          <w:szCs w:val="32"/>
        </w:rPr>
        <w:t xml:space="preserve"> 具有下列情形之一，被有关部门依法依规惩处的同时，区县民政部门应当将其列入本辖区联合惩戒对象名单，并将有关情况书面抄报相关主管部门。</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9"/>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（一）超出章程规定的宗旨和业务范围进行活动的；</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9"/>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（二）因违法违规养老服务行为侵害老年人合法权益的；</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9"/>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（三）以非法集资或者欺骗手段销售“保健”产品等方式诈骗老年人财物的；</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9"/>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（四）存在重大安全风险隐患，无故拖延，逾期不改的；</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9"/>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（五）对发生的安全事故负有主要或者直接责任的；</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（六）采取虚报、冒领等方式骗取政府补贴资金等涉及财政资金违法行为的；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（七）拒不接受或者不按照规定接受监督检查，或者在接受监督检查时隐瞒真实情况、弄虚作假的；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（八）不按照规定履行信息公开义务的；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（九）其他违反养老服务管理有关规定的严重失信情形。</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养老服务市场主体和从业人员被人民法院认定为失信被执行人的，应当列入联合惩戒对象名单。</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养老服务市场主体跨行政区域出现上述违法违规行为的，违法违规行为发生地民政部门应当通报市场主体登记注册地民政部门，由登记注册地民政部门将相应的市场主体列入联合惩戒对象名单；登记注册地在市外的，应由违法违规行为发生地民政部门将相关违法违规信息通报登记注册地民政部门，作为联合惩戒的参考和依据。</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在民政部门登记的非营利性养老服务机构或养老服务组织，在其登记管理机关管辖范围内设立多个不具备法人资格的服务网点出现上述违法违规行为的，应由登记管理机关将养老服务机构或养老服务组织列入联合惩戒对象名单。</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第六条</w:t>
      </w:r>
      <w:r>
        <w:rPr>
          <w:rFonts w:hint="eastAsia" w:ascii="方正仿宋_GBK" w:hAnsi="方正仿宋_GBK" w:eastAsia="方正仿宋_GBK" w:cs="方正仿宋_GBK"/>
          <w:color w:val="333333"/>
          <w:sz w:val="32"/>
          <w:szCs w:val="32"/>
        </w:rPr>
        <w:t xml:space="preserve">  区县民政部门应当及时通过人民法院网站、政府信息共享机制等多种渠道获取人民法院、公安、财政、自然资源、生态环境、住房城乡建设、卫生健康、应急管理、金融监管、税务、市场监管、医疗保障和消防救援等对养老服务市场主体和从业人员的相关司法裁决、行政处罚、行政强制等处理结果的信息。</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第七条</w:t>
      </w:r>
      <w:r>
        <w:rPr>
          <w:rFonts w:hint="eastAsia" w:ascii="方正仿宋_GBK" w:hAnsi="方正仿宋_GBK" w:eastAsia="方正仿宋_GBK" w:cs="方正仿宋_GBK"/>
          <w:color w:val="333333"/>
          <w:sz w:val="32"/>
          <w:szCs w:val="32"/>
        </w:rPr>
        <w:t xml:space="preserve">  养老服务市场主体和从业人员具有下列情形之一，区县民政部门应当将其列入本辖区重点关注对象名单，并将有关情况抄报相关主管部门。</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（一）在办理备案时承诺不属实，或者违反承诺的；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（二）违反强制性国家标准，但尚未被行政处罚或者刑事处罚的；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（三）存在其他失信行为，但严重程度尚未达到本办法第五条规定的情形。</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重点关注对象名单有效期为</w:t>
      </w:r>
      <w:r>
        <w:rPr>
          <w:rFonts w:hint="eastAsia" w:ascii="Times New Roman" w:hAnsi="Times New Roman" w:eastAsia="方正仿宋_GBK"/>
          <w:color w:val="333333"/>
          <w:sz w:val="32"/>
          <w:szCs w:val="32"/>
        </w:rPr>
        <w:t>6</w:t>
      </w:r>
      <w:r>
        <w:rPr>
          <w:rFonts w:hint="eastAsia" w:ascii="方正仿宋_GBK" w:hAnsi="方正仿宋_GBK" w:eastAsia="方正仿宋_GBK" w:cs="方正仿宋_GBK"/>
          <w:color w:val="333333"/>
          <w:sz w:val="32"/>
          <w:szCs w:val="32"/>
        </w:rPr>
        <w:t>个月。重点关注期内，区县民政部门应当对重点关注名单对象加大监督检查力度，增加抽查检查频次。</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第八条</w:t>
      </w:r>
      <w:r>
        <w:rPr>
          <w:rFonts w:hint="eastAsia" w:ascii="方正仿宋_GBK" w:hAnsi="方正仿宋_GBK" w:eastAsia="方正仿宋_GBK" w:cs="方正仿宋_GBK"/>
          <w:color w:val="333333"/>
          <w:sz w:val="32"/>
          <w:szCs w:val="32"/>
        </w:rPr>
        <w:t xml:space="preserve">  区县民政部门依据认定标准，经调查、核实、取证后，生成失信联合惩戒对象的初步名单，并履行告知程序，向拟列为失信联合惩戒对象送达《列入重庆市养老服务市场失信联合惩戒对象名单告知书》（附件</w:t>
      </w:r>
      <w:r>
        <w:rPr>
          <w:rFonts w:hint="eastAsia" w:ascii="Times New Roman" w:hAnsi="Times New Roman" w:eastAsia="方正仿宋_GBK"/>
          <w:color w:val="333333"/>
          <w:sz w:val="32"/>
          <w:szCs w:val="32"/>
        </w:rPr>
        <w:t>1</w:t>
      </w:r>
      <w:r>
        <w:rPr>
          <w:rFonts w:hint="eastAsia" w:ascii="方正仿宋_GBK" w:hAnsi="方正仿宋_GBK" w:eastAsia="方正仿宋_GBK" w:cs="方正仿宋_GBK"/>
          <w:color w:val="333333"/>
          <w:sz w:val="32"/>
          <w:szCs w:val="32"/>
        </w:rPr>
        <w:t>），载明列入的事实、理由、依据、约束措施和当事人享有的陈述、申辩权利。无法取得联系书面告知的，应当公告告知。</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列入对象对被列入联合惩戒对象名单有异议的，有权在收到告知书之日起</w:t>
      </w:r>
      <w:r>
        <w:rPr>
          <w:rFonts w:hint="eastAsia" w:ascii="Times New Roman" w:hAnsi="Times New Roman" w:eastAsia="方正仿宋_GBK"/>
          <w:color w:val="333333"/>
          <w:sz w:val="32"/>
          <w:szCs w:val="32"/>
        </w:rPr>
        <w:t>10个</w:t>
      </w:r>
      <w:r>
        <w:rPr>
          <w:rFonts w:hint="eastAsia" w:ascii="方正仿宋_GBK" w:hAnsi="方正仿宋_GBK" w:eastAsia="方正仿宋_GBK" w:cs="方正仿宋_GBK"/>
          <w:color w:val="333333"/>
          <w:sz w:val="32"/>
          <w:szCs w:val="32"/>
        </w:rPr>
        <w:t>工作日内向作出认定的民政部门提交书面陈述、申辩及相关证明材料；通过公告方式告知的，列入对象自公告告知之日起</w:t>
      </w:r>
      <w:r>
        <w:rPr>
          <w:rFonts w:hint="eastAsia" w:ascii="Times New Roman" w:hAnsi="Times New Roman" w:eastAsia="方正仿宋_GBK"/>
          <w:color w:val="333333"/>
          <w:sz w:val="32"/>
          <w:szCs w:val="32"/>
        </w:rPr>
        <w:t>30</w:t>
      </w:r>
      <w:r>
        <w:rPr>
          <w:rFonts w:hint="eastAsia" w:ascii="方正仿宋_GBK" w:hAnsi="方正仿宋_GBK" w:eastAsia="方正仿宋_GBK" w:cs="方正仿宋_GBK"/>
          <w:color w:val="333333"/>
          <w:sz w:val="32"/>
          <w:szCs w:val="32"/>
        </w:rPr>
        <w:t>日内未提出陈述、申辩意见的，视为无异议。</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作出认定的民政部门应当自收到陈述、申辩意见之日起</w:t>
      </w:r>
      <w:r>
        <w:rPr>
          <w:rFonts w:hint="eastAsia" w:ascii="Times New Roman" w:hAnsi="Times New Roman" w:eastAsia="方正仿宋_GBK"/>
          <w:color w:val="333333"/>
          <w:sz w:val="32"/>
          <w:szCs w:val="32"/>
        </w:rPr>
        <w:t>15</w:t>
      </w:r>
      <w:r>
        <w:rPr>
          <w:rFonts w:hint="eastAsia" w:ascii="方正仿宋_GBK" w:hAnsi="方正仿宋_GBK" w:eastAsia="方正仿宋_GBK" w:cs="方正仿宋_GBK"/>
          <w:color w:val="333333"/>
          <w:sz w:val="32"/>
          <w:szCs w:val="32"/>
        </w:rPr>
        <w:t>个工作日内进行复核并书面答复列入对象。陈述、申辩理由被采纳的，不列入联合惩戒对象名单；在收到告知书之日起</w:t>
      </w:r>
      <w:r>
        <w:rPr>
          <w:rFonts w:hint="eastAsia" w:ascii="Times New Roman" w:hAnsi="Times New Roman" w:eastAsia="方正仿宋_GBK"/>
          <w:color w:val="333333"/>
          <w:sz w:val="32"/>
          <w:szCs w:val="32"/>
        </w:rPr>
        <w:t>10</w:t>
      </w:r>
      <w:r>
        <w:rPr>
          <w:rFonts w:hint="eastAsia" w:ascii="方正仿宋_GBK" w:hAnsi="方正仿宋_GBK" w:eastAsia="方正仿宋_GBK" w:cs="方正仿宋_GBK"/>
          <w:color w:val="333333"/>
          <w:sz w:val="32"/>
          <w:szCs w:val="32"/>
        </w:rPr>
        <w:t>个工作日内无异议的，或提出异议但陈述、申辩理由不予采纳的，列入联合惩戒对象名单，并将《列入重庆市养老服务市场失信联合惩戒对象名单决定书》（附</w:t>
      </w:r>
      <w:r>
        <w:rPr>
          <w:rFonts w:hint="eastAsia" w:ascii="Times New Roman" w:hAnsi="Times New Roman" w:eastAsia="方正仿宋_GBK"/>
          <w:color w:val="333333"/>
          <w:sz w:val="32"/>
          <w:szCs w:val="32"/>
        </w:rPr>
        <w:t>件2</w:t>
      </w:r>
      <w:r>
        <w:rPr>
          <w:rFonts w:hint="eastAsia" w:ascii="方正仿宋_GBK" w:hAnsi="方正仿宋_GBK" w:eastAsia="方正仿宋_GBK" w:cs="方正仿宋_GBK"/>
          <w:color w:val="333333"/>
          <w:sz w:val="32"/>
          <w:szCs w:val="32"/>
        </w:rPr>
        <w:t>）送达列入对象。无法取得联系书面告知的，应当公告告知。</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Theme="minorEastAsia" w:hAnsiTheme="minorEastAsia"/>
          <w:sz w:val="32"/>
          <w:szCs w:val="32"/>
        </w:rPr>
      </w:pPr>
      <w:r>
        <w:rPr>
          <w:rFonts w:hint="eastAsia" w:ascii="方正黑体_GBK" w:hAnsi="方正黑体_GBK" w:eastAsia="方正黑体_GBK" w:cs="方正黑体_GBK"/>
          <w:color w:val="333333"/>
          <w:sz w:val="32"/>
          <w:szCs w:val="32"/>
        </w:rPr>
        <w:t>第九条</w:t>
      </w:r>
      <w:r>
        <w:rPr>
          <w:rFonts w:hint="eastAsia" w:ascii="方正仿宋_GBK" w:hAnsi="方正仿宋_GBK" w:eastAsia="方正仿宋_GBK" w:cs="方正仿宋_GBK"/>
          <w:color w:val="333333"/>
          <w:sz w:val="32"/>
          <w:szCs w:val="32"/>
        </w:rPr>
        <w:t xml:space="preserve">  列入对象对处理结果不服或有异议的，可向作出认定的民政部门提出申诉；对申诉结果不服的，可以依法申请行政复议或者提起行政诉讼。</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Style w:val="12"/>
          <w:rFonts w:hint="eastAsia" w:ascii="方正黑体_GBK" w:hAnsi="方正黑体_GBK" w:eastAsia="方正黑体_GBK" w:cs="方正黑体_GBK"/>
          <w:b w:val="0"/>
          <w:bCs/>
          <w:color w:val="333333"/>
          <w:sz w:val="32"/>
          <w:szCs w:val="32"/>
        </w:rPr>
      </w:pPr>
    </w:p>
    <w:p>
      <w:pPr>
        <w:pStyle w:val="10"/>
        <w:keepNext w:val="0"/>
        <w:keepLines w:val="0"/>
        <w:pageBreakBefore w:val="0"/>
        <w:numPr>
          <w:ilvl w:val="0"/>
          <w:numId w:val="1"/>
        </w:numPr>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Style w:val="12"/>
          <w:rFonts w:hint="eastAsia" w:ascii="方正黑体_GBK" w:hAnsi="方正黑体_GBK" w:eastAsia="方正黑体_GBK" w:cs="方正黑体_GBK"/>
          <w:b w:val="0"/>
          <w:bCs/>
          <w:color w:val="333333"/>
          <w:sz w:val="32"/>
          <w:szCs w:val="32"/>
        </w:rPr>
      </w:pPr>
      <w:r>
        <w:rPr>
          <w:rStyle w:val="12"/>
          <w:rFonts w:hint="eastAsia" w:ascii="方正黑体_GBK" w:hAnsi="方正黑体_GBK" w:eastAsia="方正黑体_GBK" w:cs="方正黑体_GBK"/>
          <w:b w:val="0"/>
          <w:bCs/>
          <w:color w:val="333333"/>
          <w:sz w:val="32"/>
          <w:szCs w:val="32"/>
        </w:rPr>
        <w:t xml:space="preserve"> 名单管理</w:t>
      </w:r>
    </w:p>
    <w:p>
      <w:pPr>
        <w:pStyle w:val="10"/>
        <w:keepNext w:val="0"/>
        <w:keepLines w:val="0"/>
        <w:pageBreakBefore w:val="0"/>
        <w:numPr>
          <w:numId w:val="0"/>
        </w:numPr>
        <w:kinsoku/>
        <w:wordWrap/>
        <w:overflowPunct/>
        <w:topLinePunct w:val="0"/>
        <w:autoSpaceDE/>
        <w:autoSpaceDN/>
        <w:bidi w:val="0"/>
        <w:adjustRightInd w:val="0"/>
        <w:snapToGrid w:val="0"/>
        <w:spacing w:before="0" w:beforeAutospacing="0" w:after="0" w:afterAutospacing="0" w:line="600" w:lineRule="exact"/>
        <w:ind w:right="0" w:rightChars="0"/>
        <w:jc w:val="both"/>
        <w:textAlignment w:val="auto"/>
        <w:rPr>
          <w:rStyle w:val="12"/>
          <w:rFonts w:hint="eastAsia" w:ascii="方正黑体_GBK" w:hAnsi="方正黑体_GBK" w:eastAsia="方正黑体_GBK" w:cs="方正黑体_GBK"/>
          <w:b w:val="0"/>
          <w:bCs/>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第十条</w:t>
      </w:r>
      <w:r>
        <w:rPr>
          <w:rFonts w:hint="eastAsia" w:ascii="方正仿宋_GBK" w:hAnsi="方正仿宋_GBK" w:eastAsia="方正仿宋_GBK" w:cs="方正仿宋_GBK"/>
          <w:color w:val="333333"/>
          <w:sz w:val="32"/>
          <w:szCs w:val="32"/>
        </w:rPr>
        <w:t xml:space="preserve">  联合惩戒对象名单包括以下信息：</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（一）养老服务市场主体的名称（法人和其他组织还包括统一社会信用代码）、主要负责人（法定代表人）的姓名及其身份证件类型和号码；</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（二）从业人员的姓名、公民身份号码（港澳台居民的公民社会信用代码、外国籍人身份号码）；</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（三）严重违法失信行为的事实、认定部门、认定依据、认定日期、有效期；</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（四）联合惩戒、退出信息等其他信息。</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第十一条</w:t>
      </w:r>
      <w:r>
        <w:rPr>
          <w:rFonts w:hint="eastAsia" w:ascii="方正仿宋_GBK" w:hAnsi="方正仿宋_GBK" w:eastAsia="方正仿宋_GBK" w:cs="方正仿宋_GBK"/>
          <w:color w:val="333333"/>
          <w:sz w:val="32"/>
          <w:szCs w:val="32"/>
        </w:rPr>
        <w:t xml:space="preserve">  联合惩戒对象名单应与公共信用信息系统各领域守信联合激励对象名单进行交叉比对，如惩戒主体之前已被列入守信联合激励对象名单，应告知信用主管部门并协调相关部门将其从中删除。</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第十二条</w:t>
      </w:r>
      <w:r>
        <w:rPr>
          <w:rFonts w:hint="eastAsia" w:ascii="方正仿宋_GBK" w:hAnsi="方正仿宋_GBK" w:eastAsia="方正仿宋_GBK" w:cs="方正仿宋_GBK"/>
          <w:color w:val="333333"/>
          <w:sz w:val="32"/>
          <w:szCs w:val="32"/>
        </w:rPr>
        <w:t xml:space="preserve">  市、区县民政部门应当通过门户网站、政府信用网站、养老服务信息系统、“信用中国（重庆）”等渠道向社会公众发布本辖区联合惩戒对象名单。重点关注名单原则上不对外公开。</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市、区县民政部门应利用报纸、广播、电视、网络等媒体，多渠道曝光养老服务市场严重失信行为，形成舆论压力，扩大联合惩戒对象名单制度的影响力和警示力。</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 xml:space="preserve">第十三条 </w:t>
      </w:r>
      <w:r>
        <w:rPr>
          <w:rFonts w:hint="eastAsia" w:ascii="方正仿宋_GBK" w:hAnsi="方正仿宋_GBK" w:eastAsia="方正仿宋_GBK" w:cs="方正仿宋_GBK"/>
          <w:color w:val="333333"/>
          <w:sz w:val="32"/>
          <w:szCs w:val="32"/>
        </w:rPr>
        <w:t xml:space="preserve"> 联合惩戒对象名单实行动态管理，联合惩戒对象在被列入联合惩戒对象名单期间，再次出现应当列入联合惩戒对象名单情形的，列入时限重新计算。</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第十四条</w:t>
      </w:r>
      <w:r>
        <w:rPr>
          <w:rFonts w:hint="eastAsia" w:ascii="方正仿宋_GBK" w:hAnsi="方正仿宋_GBK" w:eastAsia="方正仿宋_GBK" w:cs="方正仿宋_GBK"/>
          <w:color w:val="333333"/>
          <w:sz w:val="32"/>
          <w:szCs w:val="32"/>
        </w:rPr>
        <w:t xml:space="preserve">  社会公众发现联合惩戒对象名单公布的信息存在错误的可以向列入的民政部门举报反映，列入的民政部门应当在接报之日起</w:t>
      </w:r>
      <w:r>
        <w:rPr>
          <w:rStyle w:val="12"/>
          <w:rFonts w:ascii="Times New Roman" w:hAnsi="Times New Roman" w:eastAsia="方正黑体_GBK"/>
          <w:b w:val="0"/>
          <w:bCs/>
          <w:color w:val="333333"/>
          <w:sz w:val="32"/>
          <w:szCs w:val="32"/>
        </w:rPr>
        <w:t>5</w:t>
      </w:r>
      <w:r>
        <w:rPr>
          <w:rFonts w:hint="eastAsia" w:ascii="方正仿宋_GBK" w:hAnsi="方正仿宋_GBK" w:eastAsia="方正仿宋_GBK" w:cs="方正仿宋_GBK"/>
          <w:color w:val="333333"/>
          <w:sz w:val="32"/>
          <w:szCs w:val="32"/>
        </w:rPr>
        <w:t>个工作日内核实处理并在公告平台发布更正信息。</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第四章   惩戒措施</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第十五条</w:t>
      </w:r>
      <w:r>
        <w:rPr>
          <w:rFonts w:hint="eastAsia" w:ascii="方正仿宋_GBK" w:hAnsi="方正仿宋_GBK" w:eastAsia="方正仿宋_GBK" w:cs="方正仿宋_GBK"/>
          <w:color w:val="333333"/>
          <w:sz w:val="32"/>
          <w:szCs w:val="32"/>
        </w:rPr>
        <w:t xml:space="preserve">  市、区县民政部门应当依法对列入联合惩戒对象名单的养老服务市场主体和从业人员采取下列惩戒措施：</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（一）对参与评比表彰、等级评定、政府采购、财政资金扶持、政策试点等予以限制；</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（二）作为重点监管对象，增加检查频次，加大监管力度，发现再次违法违规经营行为的，依法从重处罚；</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（三）法定代表人或者主要负责人列入联合惩戒对象名单期间，不得被提名担任其他养老服务机构的法定代表人或者主要负责人，已担任相关职务的，要求养老服务机构按照规定程序向登记管理机关申请变更；</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（四）对拒不履行司法裁判或者行政处罚决定、屡犯不改、造成重大损失的养老服务机构及其相关责任人，坚决依法依规在一定期限内实施市场和行业禁入措施，直至永远逐出养老服务市场。</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（五）将其严重违法失信信息通报相关部门，实施联合惩戒。</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第十六条</w:t>
      </w:r>
      <w:r>
        <w:rPr>
          <w:rFonts w:hint="eastAsia" w:ascii="方正仿宋_GBK" w:hAnsi="方正仿宋_GBK" w:eastAsia="方正仿宋_GBK" w:cs="方正仿宋_GBK"/>
          <w:color w:val="333333"/>
          <w:sz w:val="32"/>
          <w:szCs w:val="32"/>
        </w:rPr>
        <w:t xml:space="preserve">  民政部门应协调相关部门实施联合惩戒，并及时反馈成效。</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第十七条</w:t>
      </w:r>
      <w:r>
        <w:rPr>
          <w:rFonts w:hint="eastAsia" w:ascii="方正仿宋_GBK" w:hAnsi="方正仿宋_GBK" w:eastAsia="方正仿宋_GBK" w:cs="方正仿宋_GBK"/>
          <w:color w:val="333333"/>
          <w:sz w:val="32"/>
          <w:szCs w:val="32"/>
        </w:rPr>
        <w:t xml:space="preserve">  支持行业协会对列入联合惩戒对象名单的会员采取警告、通报批评、不予接纳、劝退等行业自律措施。鼓励社会组织和公众对列入联合惩戒对象名单的主体进行社会监督。</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第五章  名单移出</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第十八条</w:t>
      </w:r>
      <w:r>
        <w:rPr>
          <w:rFonts w:hint="eastAsia" w:ascii="方正仿宋_GBK" w:hAnsi="方正仿宋_GBK" w:eastAsia="方正仿宋_GBK" w:cs="方正仿宋_GBK"/>
          <w:color w:val="333333"/>
          <w:sz w:val="32"/>
          <w:szCs w:val="32"/>
        </w:rPr>
        <w:t xml:space="preserve">  联合惩戒对象自被列入联合惩戒对象名单之日起满</w:t>
      </w:r>
      <w:r>
        <w:rPr>
          <w:rStyle w:val="12"/>
          <w:rFonts w:hint="eastAsia" w:ascii="方正黑体_GBK" w:hAnsi="方正黑体_GBK" w:eastAsia="方正黑体_GBK" w:cs="方正黑体_GBK"/>
          <w:b w:val="0"/>
          <w:bCs/>
          <w:color w:val="333333"/>
          <w:sz w:val="32"/>
          <w:szCs w:val="32"/>
        </w:rPr>
        <w:t>2</w:t>
      </w:r>
      <w:r>
        <w:rPr>
          <w:rFonts w:hint="eastAsia" w:ascii="方正仿宋_GBK" w:hAnsi="方正仿宋_GBK" w:eastAsia="方正仿宋_GBK" w:cs="方正仿宋_GBK"/>
          <w:color w:val="333333"/>
          <w:sz w:val="32"/>
          <w:szCs w:val="32"/>
        </w:rPr>
        <w:t>年，符合下列条件之一的，可以申请移出：</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（一）未再发生严重违法失信行为的；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（二）按照要求履行相应义务、完成整改的。</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第十九条</w:t>
      </w:r>
      <w:r>
        <w:rPr>
          <w:rFonts w:hint="eastAsia" w:ascii="方正仿宋_GBK" w:hAnsi="方正仿宋_GBK" w:eastAsia="方正仿宋_GBK" w:cs="方正仿宋_GBK"/>
          <w:color w:val="333333"/>
          <w:sz w:val="32"/>
          <w:szCs w:val="32"/>
        </w:rPr>
        <w:t xml:space="preserve">  列入的民政部门收到移出申请后，应当进行核查，经核查，联合惩戒对象未再发生严重违法失信行为或者已经履行相应义务、整改到位的，自查实之日起</w:t>
      </w:r>
      <w:r>
        <w:rPr>
          <w:rStyle w:val="12"/>
          <w:rFonts w:hint="eastAsia" w:ascii="方正黑体_GBK" w:hAnsi="方正黑体_GBK" w:eastAsia="方正黑体_GBK" w:cs="方正黑体_GBK"/>
          <w:b w:val="0"/>
          <w:bCs/>
          <w:color w:val="333333"/>
          <w:sz w:val="32"/>
          <w:szCs w:val="32"/>
        </w:rPr>
        <w:t>10</w:t>
      </w:r>
      <w:r>
        <w:rPr>
          <w:rFonts w:hint="eastAsia" w:ascii="方正仿宋_GBK" w:hAnsi="方正仿宋_GBK" w:eastAsia="方正仿宋_GBK" w:cs="方正仿宋_GBK"/>
          <w:color w:val="333333"/>
          <w:sz w:val="32"/>
          <w:szCs w:val="32"/>
        </w:rPr>
        <w:t>个工作日内将养老服务机构和从业人员移出联合惩戒对象名单，并书面告知。原始失信信息转为档案保存。</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经核查，发现有效期届满前再次发生了严重违法失信行为，或者未履行相应义务、整改不到位的，列入的民政部门自查实之日起</w:t>
      </w:r>
      <w:r>
        <w:rPr>
          <w:rStyle w:val="12"/>
          <w:rFonts w:ascii="Times New Roman" w:hAnsi="Times New Roman" w:eastAsia="方正黑体_GBK"/>
          <w:b w:val="0"/>
          <w:bCs/>
          <w:color w:val="333333"/>
          <w:sz w:val="32"/>
          <w:szCs w:val="32"/>
        </w:rPr>
        <w:t>10</w:t>
      </w:r>
      <w:r>
        <w:rPr>
          <w:rFonts w:hint="eastAsia" w:ascii="方正仿宋_GBK" w:hAnsi="方正仿宋_GBK" w:eastAsia="方正仿宋_GBK" w:cs="方正仿宋_GBK"/>
          <w:color w:val="333333"/>
          <w:sz w:val="32"/>
          <w:szCs w:val="32"/>
        </w:rPr>
        <w:t>个工作日内书面告知联合惩戒对象不允许移出，并依法对养老服务机构主要负责人和从业人员进行约谈，督促其履行相关义务、消除不良影响。约谈记录记入养老服务机构信用记录，并及时推送至全国信用信息共享平台。</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第二十条</w:t>
      </w:r>
      <w:r>
        <w:rPr>
          <w:rFonts w:hint="eastAsia" w:ascii="方正仿宋_GBK" w:hAnsi="方正仿宋_GBK" w:eastAsia="方正仿宋_GBK" w:cs="方正仿宋_GBK"/>
          <w:color w:val="333333"/>
          <w:sz w:val="32"/>
          <w:szCs w:val="32"/>
        </w:rPr>
        <w:t xml:space="preserve">  因被人民法院认定为失信被执行人而列入惩戒对象名单的，在人民法院将其失信信息删除后，列入的民政部门应当及时将其移出联合惩戒对象名单。</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列入联合惩戒对象名单所依据的行政处罚决定被撤销的，列入的民政部门应当及时将相关养老服务机构和从业人员信息移出联合惩戒对象名单。</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第六章   信息安全</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第二十一条</w:t>
      </w:r>
      <w:r>
        <w:rPr>
          <w:rFonts w:hint="eastAsia" w:ascii="方正仿宋_GBK" w:hAnsi="方正仿宋_GBK" w:eastAsia="方正仿宋_GBK" w:cs="方正仿宋_GBK"/>
          <w:color w:val="333333"/>
          <w:sz w:val="32"/>
          <w:szCs w:val="32"/>
        </w:rPr>
        <w:t xml:space="preserve">  严格落实中央网信办关于数据和安全个人信息保护有关要求，加强联合惩戒对象名单数据管理，坚决防止数据泄露。</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12"/>
          <w:rFonts w:ascii="Times New Roman" w:hAnsi="Times New Roman" w:eastAsia="方正黑体_GBK"/>
          <w:b w:val="0"/>
          <w:bCs/>
          <w:color w:val="333333"/>
          <w:sz w:val="32"/>
          <w:szCs w:val="32"/>
        </w:rPr>
      </w:pPr>
      <w:r>
        <w:rPr>
          <w:rFonts w:hint="eastAsia" w:ascii="方正黑体_GBK" w:hAnsi="方正黑体_GBK" w:eastAsia="方正黑体_GBK" w:cs="方正黑体_GBK"/>
          <w:color w:val="333333"/>
          <w:sz w:val="32"/>
          <w:szCs w:val="32"/>
        </w:rPr>
        <w:t>第二十二条</w:t>
      </w:r>
      <w:r>
        <w:rPr>
          <w:rFonts w:hint="eastAsia" w:ascii="方正仿宋_GBK" w:hAnsi="方正仿宋_GBK" w:eastAsia="方正仿宋_GBK" w:cs="方正仿宋_GBK"/>
          <w:color w:val="333333"/>
          <w:sz w:val="32"/>
          <w:szCs w:val="32"/>
        </w:rPr>
        <w:t xml:space="preserve">  收集联合惩戒对象名单所必需的个人信息应当参照《信息安全技术个人信息安全规范》（</w:t>
      </w:r>
      <w:r>
        <w:rPr>
          <w:rFonts w:ascii="Times New Roman" w:hAnsi="Times New Roman" w:eastAsia="方正仿宋_GBK"/>
          <w:color w:val="333333"/>
          <w:sz w:val="32"/>
          <w:szCs w:val="32"/>
        </w:rPr>
        <w:t>GB／T</w:t>
      </w:r>
      <w:r>
        <w:rPr>
          <w:rStyle w:val="12"/>
          <w:rFonts w:ascii="Times New Roman" w:hAnsi="Times New Roman" w:eastAsia="方正黑体_GBK"/>
          <w:b w:val="0"/>
          <w:bCs/>
          <w:color w:val="333333"/>
          <w:sz w:val="32"/>
          <w:szCs w:val="32"/>
        </w:rPr>
        <w:t>35273—2020）。</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第二十三条</w:t>
      </w:r>
      <w:r>
        <w:rPr>
          <w:rFonts w:hint="eastAsia" w:ascii="方正仿宋_GBK" w:hAnsi="方正仿宋_GBK" w:eastAsia="方正仿宋_GBK" w:cs="方正仿宋_GBK"/>
          <w:color w:val="333333"/>
          <w:sz w:val="32"/>
          <w:szCs w:val="32"/>
        </w:rPr>
        <w:t xml:space="preserve">  名单信息的发布，应当准确、客观、公正，对涉及企业商业秘密和个人隐私的信息，进行必要的技术处理，隐去部分字段。</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第二十四条</w:t>
      </w:r>
      <w:r>
        <w:rPr>
          <w:rFonts w:hint="eastAsia" w:ascii="方正仿宋_GBK" w:hAnsi="方正仿宋_GBK" w:eastAsia="方正仿宋_GBK" w:cs="方正仿宋_GBK"/>
          <w:color w:val="333333"/>
          <w:sz w:val="32"/>
          <w:szCs w:val="32"/>
        </w:rPr>
        <w:t xml:space="preserve">  坚持“谁主管谁负责、谁审批谁负责”原则，依法履行数据安全保护义务，采取技术措施和其他必要措施，确保数据安全，保障数据的完整性、保密性和可用性。建立数据安全管理责任制度，明确数据安全责任人，实施数据安全技术防护。</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第七章  附  则</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color w:val="333333"/>
          <w:sz w:val="32"/>
          <w:szCs w:val="32"/>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第二十五条</w:t>
      </w:r>
      <w:r>
        <w:rPr>
          <w:rFonts w:hint="eastAsia" w:ascii="方正仿宋_GBK" w:hAnsi="方正仿宋_GBK" w:eastAsia="方正仿宋_GBK" w:cs="方正仿宋_GBK"/>
          <w:color w:val="333333"/>
          <w:sz w:val="32"/>
          <w:szCs w:val="32"/>
        </w:rPr>
        <w:t xml:space="preserve">   民政部门及其工作人员在联合惩戒对象名单管理工作中滥用职权、玩忽职守、徇私舞弊的，应当依法依规追究责任。</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第二十六条</w:t>
      </w:r>
      <w:r>
        <w:rPr>
          <w:rFonts w:hint="eastAsia" w:ascii="方正仿宋_GBK" w:hAnsi="方正仿宋_GBK" w:eastAsia="方正仿宋_GBK" w:cs="方正仿宋_GBK"/>
          <w:color w:val="333333"/>
          <w:sz w:val="32"/>
          <w:szCs w:val="32"/>
        </w:rPr>
        <w:t xml:space="preserve">  民政部门应当建立联合惩戒对象名单记录档案，将与列入、移出联合惩戒对象名单有关的证据、文书等资料整理归档、妥善保存。</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第二十七条</w:t>
      </w:r>
      <w:r>
        <w:rPr>
          <w:rFonts w:hint="eastAsia" w:ascii="方正仿宋_GBK" w:hAnsi="方正仿宋_GBK" w:eastAsia="方正仿宋_GBK" w:cs="方正仿宋_GBK"/>
          <w:color w:val="333333"/>
          <w:sz w:val="32"/>
          <w:szCs w:val="32"/>
        </w:rPr>
        <w:t xml:space="preserve">  区县民政部门可以根据需要，制定本行政区域联合惩戒对象名单管理办法。</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第二十八条</w:t>
      </w:r>
      <w:r>
        <w:rPr>
          <w:rFonts w:hint="eastAsia" w:ascii="方正仿宋_GBK" w:hAnsi="方正仿宋_GBK" w:eastAsia="方正仿宋_GBK" w:cs="方正仿宋_GBK"/>
          <w:color w:val="333333"/>
          <w:sz w:val="32"/>
          <w:szCs w:val="32"/>
        </w:rPr>
        <w:t xml:space="preserve">  本办法由重庆市民政局负责解释。</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rPr>
        <w:t>第二十九条</w:t>
      </w:r>
      <w:r>
        <w:rPr>
          <w:rFonts w:hint="eastAsia" w:ascii="方正仿宋_GBK" w:hAnsi="方正仿宋_GBK" w:eastAsia="方正仿宋_GBK" w:cs="方正仿宋_GBK"/>
          <w:color w:val="333333"/>
          <w:sz w:val="32"/>
          <w:szCs w:val="32"/>
        </w:rPr>
        <w:t xml:space="preserve">  本办法自</w:t>
      </w:r>
      <w:r>
        <w:rPr>
          <w:rStyle w:val="12"/>
          <w:rFonts w:ascii="Times New Roman" w:hAnsi="Times New Roman" w:eastAsia="方正黑体_GBK"/>
          <w:b w:val="0"/>
          <w:bCs/>
          <w:color w:val="333333"/>
          <w:sz w:val="32"/>
          <w:szCs w:val="32"/>
        </w:rPr>
        <w:t>2022</w:t>
      </w:r>
      <w:r>
        <w:rPr>
          <w:rFonts w:ascii="Times New Roman" w:hAnsi="方正仿宋_GBK" w:eastAsia="方正仿宋_GBK"/>
          <w:color w:val="333333"/>
          <w:sz w:val="32"/>
          <w:szCs w:val="32"/>
        </w:rPr>
        <w:t>年</w:t>
      </w:r>
      <w:r>
        <w:rPr>
          <w:rStyle w:val="12"/>
          <w:rFonts w:ascii="Times New Roman" w:hAnsi="Times New Roman" w:eastAsia="方正黑体_GBK"/>
          <w:b w:val="0"/>
          <w:bCs/>
          <w:color w:val="333333"/>
          <w:sz w:val="32"/>
          <w:szCs w:val="32"/>
        </w:rPr>
        <w:t>1</w:t>
      </w:r>
      <w:r>
        <w:rPr>
          <w:rFonts w:ascii="Times New Roman" w:hAnsi="方正仿宋_GBK" w:eastAsia="方正仿宋_GBK"/>
          <w:color w:val="333333"/>
          <w:sz w:val="32"/>
          <w:szCs w:val="32"/>
        </w:rPr>
        <w:t>月</w:t>
      </w:r>
      <w:r>
        <w:rPr>
          <w:rStyle w:val="12"/>
          <w:rFonts w:ascii="Times New Roman" w:hAnsi="Times New Roman" w:eastAsia="方正黑体_GBK"/>
          <w:b w:val="0"/>
          <w:bCs/>
          <w:color w:val="333333"/>
          <w:sz w:val="32"/>
          <w:szCs w:val="32"/>
        </w:rPr>
        <w:t>1</w:t>
      </w:r>
      <w:r>
        <w:rPr>
          <w:rFonts w:hint="eastAsia" w:ascii="方正仿宋_GBK" w:hAnsi="方正仿宋_GBK" w:eastAsia="方正仿宋_GBK" w:cs="方正仿宋_GBK"/>
          <w:color w:val="333333"/>
          <w:sz w:val="32"/>
          <w:szCs w:val="32"/>
        </w:rPr>
        <w:t>日起施行。</w:t>
      </w:r>
    </w:p>
    <w:p/>
    <w:p>
      <w:pPr>
        <w:rPr>
          <w:rFonts w:ascii="方正黑体_GBK" w:eastAsia="方正黑体_GBK"/>
          <w:color w:val="000000" w:themeColor="text1"/>
          <w:sz w:val="32"/>
          <w:szCs w:val="32"/>
          <w14:textFill>
            <w14:solidFill>
              <w14:schemeClr w14:val="tx1"/>
            </w14:solidFill>
          </w14:textFill>
        </w:rPr>
      </w:pPr>
    </w:p>
    <w:p>
      <w:pPr>
        <w:rPr>
          <w:rFonts w:ascii="方正黑体_GBK" w:eastAsia="方正黑体_GBK"/>
          <w:color w:val="000000" w:themeColor="text1"/>
          <w:sz w:val="32"/>
          <w:szCs w:val="32"/>
          <w14:textFill>
            <w14:solidFill>
              <w14:schemeClr w14:val="tx1"/>
            </w14:solidFill>
          </w14:textFill>
        </w:rPr>
      </w:pPr>
    </w:p>
    <w:p>
      <w:pPr>
        <w:rPr>
          <w:rFonts w:ascii="方正黑体_GBK" w:eastAsia="方正黑体_GBK"/>
          <w:color w:val="000000" w:themeColor="text1"/>
          <w:sz w:val="32"/>
          <w:szCs w:val="32"/>
          <w14:textFill>
            <w14:solidFill>
              <w14:schemeClr w14:val="tx1"/>
            </w14:solidFill>
          </w14:textFill>
        </w:rPr>
      </w:pPr>
    </w:p>
    <w:p>
      <w:pPr>
        <w:rPr>
          <w:rFonts w:ascii="方正黑体_GBK" w:eastAsia="方正黑体_GBK"/>
          <w:color w:val="000000" w:themeColor="text1"/>
          <w:sz w:val="32"/>
          <w:szCs w:val="32"/>
          <w14:textFill>
            <w14:solidFill>
              <w14:schemeClr w14:val="tx1"/>
            </w14:solidFill>
          </w14:textFill>
        </w:rPr>
      </w:pPr>
    </w:p>
    <w:p>
      <w:pPr>
        <w:rPr>
          <w:rFonts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hint="eastAsia" w:ascii="方正黑体_GBK" w:eastAsia="方正黑体_GBK"/>
          <w:color w:val="000000" w:themeColor="text1"/>
          <w:sz w:val="32"/>
          <w:szCs w:val="32"/>
          <w14:textFill>
            <w14:solidFill>
              <w14:schemeClr w14:val="tx1"/>
            </w14:solidFill>
          </w14:textFill>
        </w:rPr>
      </w:pPr>
    </w:p>
    <w:p>
      <w:pPr>
        <w:adjustRightInd w:val="0"/>
        <w:snapToGrid w:val="0"/>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附件</w:t>
      </w:r>
      <w:r>
        <w:rPr>
          <w:rFonts w:ascii="方正黑体_GBK" w:eastAsia="方正黑体_GBK"/>
          <w:color w:val="000000" w:themeColor="text1"/>
          <w:sz w:val="32"/>
          <w:szCs w:val="32"/>
          <w14:textFill>
            <w14:solidFill>
              <w14:schemeClr w14:val="tx1"/>
            </w14:solidFill>
          </w14:textFill>
        </w:rPr>
        <w:t>1</w:t>
      </w:r>
    </w:p>
    <w:p>
      <w:pPr>
        <w:adjustRightInd w:val="0"/>
        <w:snapToGrid w:val="0"/>
        <w:jc w:val="center"/>
        <w:rPr>
          <w:rFonts w:ascii="方正小标宋_GBK" w:eastAsia="方正小标宋_GBK"/>
          <w:color w:val="000000" w:themeColor="text1"/>
          <w:kern w:val="0"/>
          <w:sz w:val="44"/>
          <w:szCs w:val="44"/>
          <w14:textFill>
            <w14:solidFill>
              <w14:schemeClr w14:val="tx1"/>
            </w14:solidFill>
          </w14:textFill>
        </w:rPr>
      </w:pPr>
      <w:r>
        <w:rPr>
          <w:rFonts w:hint="eastAsia" w:ascii="方正小标宋_GBK" w:eastAsia="方正小标宋_GBK"/>
          <w:color w:val="000000" w:themeColor="text1"/>
          <w:kern w:val="0"/>
          <w:sz w:val="44"/>
          <w:szCs w:val="44"/>
          <w14:textFill>
            <w14:solidFill>
              <w14:schemeClr w14:val="tx1"/>
            </w14:solidFill>
          </w14:textFill>
        </w:rPr>
        <w:t>列入重庆市养老服务市场</w:t>
      </w:r>
    </w:p>
    <w:p>
      <w:pPr>
        <w:adjustRightInd w:val="0"/>
        <w:snapToGrid w:val="0"/>
        <w:jc w:val="center"/>
        <w:rPr>
          <w:rFonts w:ascii="宋体" w:hAnsi="宋体" w:cs="宋体"/>
          <w:color w:val="000000" w:themeColor="text1"/>
          <w:kern w:val="0"/>
          <w:sz w:val="44"/>
          <w:szCs w:val="44"/>
          <w14:textFill>
            <w14:solidFill>
              <w14:schemeClr w14:val="tx1"/>
            </w14:solidFill>
          </w14:textFill>
        </w:rPr>
      </w:pPr>
      <w:r>
        <w:rPr>
          <w:rFonts w:hint="eastAsia" w:ascii="方正小标宋_GBK" w:eastAsia="方正小标宋_GBK"/>
          <w:color w:val="000000" w:themeColor="text1"/>
          <w:kern w:val="0"/>
          <w:sz w:val="44"/>
          <w:szCs w:val="44"/>
          <w14:textFill>
            <w14:solidFill>
              <w14:schemeClr w14:val="tx1"/>
            </w14:solidFill>
          </w14:textFill>
        </w:rPr>
        <w:t>失信联合惩戒对象名单告知书</w:t>
      </w:r>
    </w:p>
    <w:tbl>
      <w:tblPr>
        <w:tblStyle w:val="13"/>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13"/>
        <w:gridCol w:w="1876"/>
        <w:gridCol w:w="4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513" w:type="dxa"/>
            <w:tcMar>
              <w:top w:w="0" w:type="dxa"/>
              <w:left w:w="108" w:type="dxa"/>
              <w:bottom w:w="0" w:type="dxa"/>
              <w:right w:w="108" w:type="dxa"/>
            </w:tcMar>
            <w:vAlign w:val="center"/>
          </w:tcPr>
          <w:p>
            <w:pPr>
              <w:widowControl/>
              <w:spacing w:line="40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被告知</w:t>
            </w:r>
            <w:r>
              <w:rPr>
                <w:rFonts w:hint="eastAsia" w:ascii="Times New Roman" w:hAnsi="Times New Roman" w:eastAsia="方正仿宋_GBK" w:cs="Times New Roman"/>
                <w:color w:val="000000" w:themeColor="text1"/>
                <w:kern w:val="0"/>
                <w:sz w:val="24"/>
                <w14:textFill>
                  <w14:solidFill>
                    <w14:schemeClr w14:val="tx1"/>
                  </w14:solidFill>
                </w14:textFill>
              </w:rPr>
              <w:t>市场</w:t>
            </w:r>
            <w:r>
              <w:rPr>
                <w:rFonts w:ascii="Times New Roman" w:hAnsi="Times New Roman" w:eastAsia="方正仿宋_GBK" w:cs="Times New Roman"/>
                <w:color w:val="000000" w:themeColor="text1"/>
                <w:kern w:val="0"/>
                <w:sz w:val="24"/>
                <w14:textFill>
                  <w14:solidFill>
                    <w14:schemeClr w14:val="tx1"/>
                  </w14:solidFill>
                </w14:textFill>
              </w:rPr>
              <w:t>主体名称</w:t>
            </w:r>
          </w:p>
          <w:p>
            <w:pPr>
              <w:widowControl/>
              <w:spacing w:line="40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（自然人姓名）</w:t>
            </w:r>
          </w:p>
        </w:tc>
        <w:tc>
          <w:tcPr>
            <w:tcW w:w="6267" w:type="dxa"/>
            <w:gridSpan w:val="2"/>
            <w:tcMar>
              <w:top w:w="0" w:type="dxa"/>
              <w:left w:w="108" w:type="dxa"/>
              <w:bottom w:w="0" w:type="dxa"/>
              <w:right w:w="108" w:type="dxa"/>
            </w:tcMar>
            <w:vAlign w:val="center"/>
          </w:tcPr>
          <w:p>
            <w:pPr>
              <w:widowControl/>
              <w:spacing w:line="40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513" w:type="dxa"/>
            <w:tcMar>
              <w:top w:w="0" w:type="dxa"/>
              <w:left w:w="108" w:type="dxa"/>
              <w:bottom w:w="0" w:type="dxa"/>
              <w:right w:w="108" w:type="dxa"/>
            </w:tcMar>
            <w:vAlign w:val="center"/>
          </w:tcPr>
          <w:p>
            <w:pPr>
              <w:widowControl/>
              <w:spacing w:line="40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统一社会信用代码</w:t>
            </w:r>
          </w:p>
          <w:p>
            <w:pPr>
              <w:widowControl/>
              <w:spacing w:line="40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（居民身份证号码）</w:t>
            </w:r>
          </w:p>
        </w:tc>
        <w:tc>
          <w:tcPr>
            <w:tcW w:w="6267" w:type="dxa"/>
            <w:gridSpan w:val="2"/>
            <w:tcMar>
              <w:top w:w="0" w:type="dxa"/>
              <w:left w:w="108" w:type="dxa"/>
              <w:bottom w:w="0" w:type="dxa"/>
              <w:right w:w="108" w:type="dxa"/>
            </w:tcMar>
            <w:vAlign w:val="center"/>
          </w:tcPr>
          <w:p>
            <w:pPr>
              <w:widowControl/>
              <w:spacing w:line="40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513" w:type="dxa"/>
            <w:tcMar>
              <w:top w:w="0" w:type="dxa"/>
              <w:left w:w="108" w:type="dxa"/>
              <w:bottom w:w="0" w:type="dxa"/>
              <w:right w:w="108" w:type="dxa"/>
            </w:tcMar>
            <w:vAlign w:val="center"/>
          </w:tcPr>
          <w:p>
            <w:pPr>
              <w:widowControl/>
              <w:spacing w:line="360" w:lineRule="atLeas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通讯地址</w:t>
            </w:r>
          </w:p>
        </w:tc>
        <w:tc>
          <w:tcPr>
            <w:tcW w:w="6267" w:type="dxa"/>
            <w:gridSpan w:val="2"/>
            <w:tcMar>
              <w:top w:w="0" w:type="dxa"/>
              <w:left w:w="108" w:type="dxa"/>
              <w:bottom w:w="0" w:type="dxa"/>
              <w:right w:w="108" w:type="dxa"/>
            </w:tcMar>
            <w:vAlign w:val="center"/>
          </w:tcPr>
          <w:p>
            <w:pPr>
              <w:widowControl/>
              <w:jc w:val="center"/>
              <w:rPr>
                <w:rFonts w:ascii="Times New Roman" w:hAnsi="Times New Roman" w:eastAsia="方正仿宋_GBK"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8780" w:type="dxa"/>
            <w:gridSpan w:val="3"/>
            <w:tcMar>
              <w:top w:w="0" w:type="dxa"/>
              <w:left w:w="108" w:type="dxa"/>
              <w:bottom w:w="0" w:type="dxa"/>
              <w:right w:w="108" w:type="dxa"/>
            </w:tcMar>
            <w:vAlign w:val="center"/>
          </w:tcPr>
          <w:p>
            <w:pPr>
              <w:widowControl/>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告知内容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8780" w:type="dxa"/>
            <w:gridSpan w:val="3"/>
            <w:tcMar>
              <w:top w:w="0" w:type="dxa"/>
              <w:left w:w="108" w:type="dxa"/>
              <w:bottom w:w="0" w:type="dxa"/>
              <w:right w:w="108" w:type="dxa"/>
            </w:tcMar>
            <w:vAlign w:val="center"/>
          </w:tcPr>
          <w:p>
            <w:pPr>
              <w:spacing w:line="400" w:lineRule="exact"/>
              <w:jc w:val="left"/>
              <w:rPr>
                <w:rFonts w:ascii="仿宋" w:hAnsi="仿宋" w:eastAsia="仿宋" w:cs="Times New Roman"/>
                <w:color w:val="000000" w:themeColor="text1"/>
                <w:kern w:val="0"/>
                <w:sz w:val="24"/>
                <w:u w:val="single"/>
                <w14:textFill>
                  <w14:solidFill>
                    <w14:schemeClr w14:val="tx1"/>
                  </w14:solidFill>
                </w14:textFill>
              </w:rPr>
            </w:pPr>
            <w:r>
              <w:rPr>
                <w:rFonts w:ascii="仿宋" w:hAnsi="仿宋" w:eastAsia="仿宋" w:cs="Times New Roman"/>
                <w:color w:val="000000" w:themeColor="text1"/>
                <w:kern w:val="0"/>
                <w:sz w:val="24"/>
                <w14:textFill>
                  <w14:solidFill>
                    <w14:schemeClr w14:val="tx1"/>
                  </w14:solidFill>
                </w14:textFill>
              </w:rPr>
              <w:t>依据《重庆市养老服务市场失信联合惩戒对象名单管理办法》规定，</w:t>
            </w:r>
            <w:r>
              <w:rPr>
                <w:rFonts w:hint="eastAsia" w:ascii="仿宋" w:hAnsi="仿宋" w:eastAsia="仿宋" w:cs="Times New Roman"/>
                <w:color w:val="000000" w:themeColor="text1"/>
                <w:kern w:val="0"/>
                <w:sz w:val="24"/>
                <w:u w:val="single"/>
                <w14:textFill>
                  <w14:solidFill>
                    <w14:schemeClr w14:val="tx1"/>
                  </w14:solidFill>
                </w14:textFill>
              </w:rPr>
              <w:t>XX养老服务</w:t>
            </w:r>
            <w:r>
              <w:rPr>
                <w:rFonts w:ascii="仿宋" w:hAnsi="仿宋" w:eastAsia="仿宋" w:cs="Times New Roman"/>
                <w:color w:val="000000" w:themeColor="text1"/>
                <w:kern w:val="0"/>
                <w:sz w:val="24"/>
                <w:u w:val="single"/>
                <w14:textFill>
                  <w14:solidFill>
                    <w14:schemeClr w14:val="tx1"/>
                  </w14:solidFill>
                </w14:textFill>
              </w:rPr>
              <w:t>市场主体（或个人）</w:t>
            </w:r>
            <w:r>
              <w:rPr>
                <w:rFonts w:ascii="仿宋" w:hAnsi="仿宋" w:eastAsia="仿宋" w:cs="Times New Roman"/>
                <w:color w:val="000000" w:themeColor="text1"/>
                <w:kern w:val="0"/>
                <w:sz w:val="24"/>
                <w14:textFill>
                  <w14:solidFill>
                    <w14:schemeClr w14:val="tx1"/>
                  </w14:solidFill>
                </w14:textFill>
              </w:rPr>
              <w:t>因：</w:t>
            </w:r>
          </w:p>
          <w:p>
            <w:pPr>
              <w:spacing w:line="400" w:lineRule="exact"/>
              <w:rPr>
                <w:rFonts w:ascii="仿宋" w:hAnsi="仿宋" w:eastAsia="仿宋" w:cs="Times New Roman"/>
                <w:color w:val="000000" w:themeColor="text1"/>
                <w:kern w:val="0"/>
                <w:sz w:val="24"/>
                <w:u w:val="single"/>
                <w14:textFill>
                  <w14:solidFill>
                    <w14:schemeClr w14:val="tx1"/>
                  </w14:solidFill>
                </w14:textFill>
              </w:rPr>
            </w:pPr>
          </w:p>
          <w:p>
            <w:pPr>
              <w:spacing w:line="400" w:lineRule="exact"/>
              <w:ind w:firstLine="480" w:firstLineChars="200"/>
              <w:rPr>
                <w:rFonts w:ascii="仿宋" w:hAnsi="仿宋" w:eastAsia="仿宋" w:cs="Times New Roman"/>
                <w:color w:val="000000" w:themeColor="text1"/>
                <w:kern w:val="0"/>
                <w:sz w:val="24"/>
                <w:u w:val="single"/>
                <w14:textFill>
                  <w14:solidFill>
                    <w14:schemeClr w14:val="tx1"/>
                  </w14:solidFill>
                </w14:textFill>
              </w:rPr>
            </w:pPr>
          </w:p>
          <w:p>
            <w:pPr>
              <w:spacing w:line="400" w:lineRule="exact"/>
              <w:ind w:firstLine="434" w:firstLineChars="181"/>
              <w:rPr>
                <w:rFonts w:ascii="仿宋" w:hAnsi="仿宋" w:eastAsia="仿宋" w:cs="Times New Roman"/>
                <w:color w:val="000000" w:themeColor="text1"/>
                <w:kern w:val="0"/>
                <w:sz w:val="24"/>
                <w14:textFill>
                  <w14:solidFill>
                    <w14:schemeClr w14:val="tx1"/>
                  </w14:solidFill>
                </w14:textFill>
              </w:rPr>
            </w:pPr>
            <w:r>
              <w:rPr>
                <w:rFonts w:ascii="仿宋" w:hAnsi="仿宋" w:eastAsia="仿宋" w:cs="Times New Roman"/>
                <w:color w:val="000000" w:themeColor="text1"/>
                <w:kern w:val="0"/>
                <w:sz w:val="24"/>
                <w14:textFill>
                  <w14:solidFill>
                    <w14:schemeClr w14:val="tx1"/>
                  </w14:solidFill>
                </w14:textFill>
              </w:rPr>
              <w:t>拟列入重庆市养老服务市场失信联合惩戒名单，期限</w:t>
            </w:r>
            <w:r>
              <w:rPr>
                <w:rFonts w:hint="eastAsia" w:ascii="仿宋" w:hAnsi="仿宋" w:eastAsia="仿宋" w:cs="Times New Roman"/>
                <w:color w:val="000000" w:themeColor="text1"/>
                <w:kern w:val="0"/>
                <w:sz w:val="24"/>
                <w14:textFill>
                  <w14:solidFill>
                    <w14:schemeClr w14:val="tx1"/>
                  </w14:solidFill>
                </w14:textFill>
              </w:rPr>
              <w:t>2</w:t>
            </w:r>
            <w:r>
              <w:rPr>
                <w:rFonts w:ascii="仿宋" w:hAnsi="仿宋" w:eastAsia="仿宋" w:cs="Times New Roman"/>
                <w:color w:val="000000" w:themeColor="text1"/>
                <w:kern w:val="0"/>
                <w:sz w:val="24"/>
                <w14:textFill>
                  <w14:solidFill>
                    <w14:schemeClr w14:val="tx1"/>
                  </w14:solidFill>
                </w14:textFill>
              </w:rPr>
              <w:t>年，自年月日起至年月日止。对列入联合惩戒对象名单的养老服务市场主体和从业人员，将在一定期限内向社会公布，由民政部门会同相关部门实施信用约束、联合惩戒等措施。</w:t>
            </w:r>
          </w:p>
          <w:p>
            <w:pPr>
              <w:spacing w:line="400" w:lineRule="exact"/>
              <w:ind w:firstLine="480" w:firstLineChars="200"/>
              <w:rPr>
                <w:rFonts w:ascii="仿宋" w:hAnsi="仿宋" w:eastAsia="仿宋" w:cs="Times New Roman"/>
                <w:color w:val="000000" w:themeColor="text1"/>
                <w:kern w:val="0"/>
                <w:sz w:val="24"/>
                <w14:textFill>
                  <w14:solidFill>
                    <w14:schemeClr w14:val="tx1"/>
                  </w14:solidFill>
                </w14:textFill>
              </w:rPr>
            </w:pPr>
            <w:r>
              <w:rPr>
                <w:rFonts w:ascii="仿宋" w:hAnsi="仿宋" w:eastAsia="仿宋" w:cs="Times New Roman"/>
                <w:color w:val="000000" w:themeColor="text1"/>
                <w:kern w:val="0"/>
                <w:sz w:val="24"/>
                <w14:textFill>
                  <w14:solidFill>
                    <w14:schemeClr w14:val="tx1"/>
                  </w14:solidFill>
                </w14:textFill>
              </w:rPr>
              <w:t>拟被列入重庆市养老服务市场失信联合惩戒对象有陈述和申辩的权利，请于接到此告知书之日起10个工作日内书面提交陈述和申辩意见，逾期视为放弃上述权利。</w:t>
            </w:r>
          </w:p>
          <w:p>
            <w:pPr>
              <w:jc w:val="right"/>
              <w:rPr>
                <w:rFonts w:ascii="Times New Roman" w:hAnsi="Times New Roman" w:eastAsia="方正仿宋_GBK"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XX区县民政部门（</w:t>
            </w:r>
            <w:r>
              <w:rPr>
                <w:rFonts w:ascii="仿宋" w:hAnsi="仿宋" w:eastAsia="仿宋" w:cs="Times New Roman"/>
                <w:color w:val="000000" w:themeColor="text1"/>
                <w:kern w:val="0"/>
                <w:sz w:val="24"/>
                <w14:textFill>
                  <w14:solidFill>
                    <w14:schemeClr w14:val="tx1"/>
                  </w14:solidFill>
                </w14:textFill>
              </w:rPr>
              <w:t>盖章）</w:t>
            </w:r>
          </w:p>
          <w:p>
            <w:pPr>
              <w:jc w:val="right"/>
              <w:rPr>
                <w:rFonts w:ascii="Times New Roman" w:hAnsi="Times New Roman" w:eastAsia="方正仿宋_GBK" w:cs="Times New Roman"/>
                <w:color w:val="000000" w:themeColor="text1"/>
                <w:kern w:val="0"/>
                <w:sz w:val="24"/>
                <w14:textFill>
                  <w14:solidFill>
                    <w14:schemeClr w14:val="tx1"/>
                  </w14:solidFill>
                </w14:textFill>
              </w:rPr>
            </w:pPr>
            <w:r>
              <w:rPr>
                <w:rFonts w:ascii="仿宋" w:hAnsi="仿宋" w:eastAsia="仿宋" w:cs="Times New Roman"/>
                <w:color w:val="000000" w:themeColor="text1"/>
                <w:kern w:val="0"/>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4389" w:type="dxa"/>
            <w:gridSpan w:val="2"/>
            <w:tcMar>
              <w:top w:w="0" w:type="dxa"/>
              <w:left w:w="108" w:type="dxa"/>
              <w:bottom w:w="0" w:type="dxa"/>
              <w:right w:w="108" w:type="dxa"/>
            </w:tcMar>
          </w:tcPr>
          <w:p>
            <w:pPr>
              <w:spacing w:line="400" w:lineRule="exact"/>
              <w:ind w:firstLine="480" w:firstLineChars="200"/>
              <w:rPr>
                <w:rFonts w:ascii="仿宋" w:hAnsi="仿宋" w:eastAsia="仿宋" w:cs="Times New Roman"/>
                <w:color w:val="000000" w:themeColor="text1"/>
                <w:kern w:val="0"/>
                <w:sz w:val="24"/>
                <w14:textFill>
                  <w14:solidFill>
                    <w14:schemeClr w14:val="tx1"/>
                  </w14:solidFill>
                </w14:textFill>
              </w:rPr>
            </w:pPr>
            <w:r>
              <w:rPr>
                <w:rFonts w:ascii="仿宋" w:hAnsi="仿宋" w:eastAsia="仿宋" w:cs="Times New Roman"/>
                <w:color w:val="000000" w:themeColor="text1"/>
                <w:kern w:val="0"/>
                <w:sz w:val="24"/>
                <w14:textFill>
                  <w14:solidFill>
                    <w14:schemeClr w14:val="tx1"/>
                  </w14:solidFill>
                </w14:textFill>
              </w:rPr>
              <w:t>送达人：（签字）</w:t>
            </w:r>
          </w:p>
          <w:p>
            <w:pPr>
              <w:pStyle w:val="4"/>
              <w:ind w:firstLine="480"/>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联系电话：</w:t>
            </w:r>
          </w:p>
          <w:p>
            <w:pPr>
              <w:spacing w:line="400" w:lineRule="exact"/>
              <w:ind w:firstLine="480" w:firstLineChars="200"/>
              <w:rPr>
                <w:rFonts w:ascii="仿宋" w:hAnsi="仿宋" w:eastAsia="仿宋" w:cs="Times New Roman"/>
                <w:color w:val="000000" w:themeColor="text1"/>
                <w:kern w:val="0"/>
                <w:sz w:val="24"/>
                <w14:textFill>
                  <w14:solidFill>
                    <w14:schemeClr w14:val="tx1"/>
                  </w14:solidFill>
                </w14:textFill>
              </w:rPr>
            </w:pPr>
          </w:p>
          <w:p>
            <w:pPr>
              <w:spacing w:line="400" w:lineRule="exact"/>
              <w:ind w:firstLine="2160" w:firstLineChars="900"/>
              <w:rPr>
                <w:rFonts w:ascii="Times New Roman" w:hAnsi="Times New Roman" w:eastAsia="方正仿宋_GBK" w:cs="Times New Roman"/>
                <w:color w:val="000000" w:themeColor="text1"/>
                <w:kern w:val="0"/>
                <w:sz w:val="24"/>
                <w14:textFill>
                  <w14:solidFill>
                    <w14:schemeClr w14:val="tx1"/>
                  </w14:solidFill>
                </w14:textFill>
              </w:rPr>
            </w:pPr>
            <w:r>
              <w:rPr>
                <w:rFonts w:ascii="仿宋" w:hAnsi="仿宋" w:eastAsia="仿宋" w:cs="Times New Roman"/>
                <w:color w:val="000000" w:themeColor="text1"/>
                <w:kern w:val="0"/>
                <w:sz w:val="24"/>
                <w14:textFill>
                  <w14:solidFill>
                    <w14:schemeClr w14:val="tx1"/>
                  </w14:solidFill>
                </w14:textFill>
              </w:rPr>
              <w:t>年  月  日</w:t>
            </w:r>
          </w:p>
        </w:tc>
        <w:tc>
          <w:tcPr>
            <w:tcW w:w="4391" w:type="dxa"/>
          </w:tcPr>
          <w:p>
            <w:pPr>
              <w:spacing w:line="400" w:lineRule="exact"/>
              <w:ind w:firstLine="480" w:firstLineChars="200"/>
              <w:rPr>
                <w:rFonts w:ascii="仿宋" w:hAnsi="仿宋" w:eastAsia="仿宋" w:cs="Times New Roman"/>
                <w:color w:val="000000" w:themeColor="text1"/>
                <w:kern w:val="0"/>
                <w:sz w:val="24"/>
                <w14:textFill>
                  <w14:solidFill>
                    <w14:schemeClr w14:val="tx1"/>
                  </w14:solidFill>
                </w14:textFill>
              </w:rPr>
            </w:pPr>
            <w:r>
              <w:rPr>
                <w:rFonts w:ascii="仿宋" w:hAnsi="仿宋" w:eastAsia="仿宋" w:cs="Times New Roman"/>
                <w:color w:val="000000" w:themeColor="text1"/>
                <w:kern w:val="0"/>
                <w:sz w:val="24"/>
                <w14:textFill>
                  <w14:solidFill>
                    <w14:schemeClr w14:val="tx1"/>
                  </w14:solidFill>
                </w14:textFill>
              </w:rPr>
              <w:t>接收</w:t>
            </w:r>
            <w:r>
              <w:rPr>
                <w:rFonts w:hint="eastAsia" w:ascii="仿宋" w:hAnsi="仿宋" w:eastAsia="仿宋" w:cs="Times New Roman"/>
                <w:color w:val="000000" w:themeColor="text1"/>
                <w:kern w:val="0"/>
                <w:sz w:val="24"/>
                <w14:textFill>
                  <w14:solidFill>
                    <w14:schemeClr w14:val="tx1"/>
                  </w14:solidFill>
                </w14:textFill>
              </w:rPr>
              <w:t>市场主体</w:t>
            </w:r>
            <w:r>
              <w:rPr>
                <w:rFonts w:ascii="仿宋" w:hAnsi="仿宋" w:eastAsia="仿宋" w:cs="Times New Roman"/>
                <w:color w:val="000000" w:themeColor="text1"/>
                <w:kern w:val="0"/>
                <w:sz w:val="24"/>
                <w14:textFill>
                  <w14:solidFill>
                    <w14:schemeClr w14:val="tx1"/>
                  </w14:solidFill>
                </w14:textFill>
              </w:rPr>
              <w:t>或个人：</w:t>
            </w:r>
          </w:p>
          <w:p>
            <w:pPr>
              <w:spacing w:line="400" w:lineRule="exact"/>
              <w:ind w:firstLine="480" w:firstLineChars="200"/>
              <w:rPr>
                <w:rFonts w:ascii="仿宋" w:hAnsi="仿宋" w:eastAsia="仿宋" w:cs="Times New Roman"/>
                <w:color w:val="000000" w:themeColor="text1"/>
                <w:kern w:val="0"/>
                <w:sz w:val="24"/>
                <w14:textFill>
                  <w14:solidFill>
                    <w14:schemeClr w14:val="tx1"/>
                  </w14:solidFill>
                </w14:textFill>
              </w:rPr>
            </w:pPr>
            <w:r>
              <w:rPr>
                <w:rFonts w:ascii="仿宋" w:hAnsi="仿宋" w:eastAsia="仿宋" w:cs="Times New Roman"/>
                <w:color w:val="000000" w:themeColor="text1"/>
                <w:kern w:val="0"/>
                <w:sz w:val="24"/>
                <w14:textFill>
                  <w14:solidFill>
                    <w14:schemeClr w14:val="tx1"/>
                  </w14:solidFill>
                </w14:textFill>
              </w:rPr>
              <w:t>（</w:t>
            </w:r>
            <w:r>
              <w:rPr>
                <w:rFonts w:hint="eastAsia" w:ascii="仿宋" w:hAnsi="仿宋" w:eastAsia="仿宋" w:cs="Times New Roman"/>
                <w:color w:val="000000" w:themeColor="text1"/>
                <w:kern w:val="0"/>
                <w:sz w:val="24"/>
                <w14:textFill>
                  <w14:solidFill>
                    <w14:schemeClr w14:val="tx1"/>
                  </w14:solidFill>
                </w14:textFill>
              </w:rPr>
              <w:t>市场</w:t>
            </w:r>
            <w:r>
              <w:rPr>
                <w:rFonts w:ascii="仿宋" w:hAnsi="仿宋" w:eastAsia="仿宋" w:cs="Times New Roman"/>
                <w:color w:val="000000" w:themeColor="text1"/>
                <w:kern w:val="0"/>
                <w:sz w:val="24"/>
                <w14:textFill>
                  <w14:solidFill>
                    <w14:schemeClr w14:val="tx1"/>
                  </w14:solidFill>
                </w14:textFill>
              </w:rPr>
              <w:t>主体盖章、主要负责人签字或个人签字）</w:t>
            </w:r>
          </w:p>
          <w:p>
            <w:pPr>
              <w:pStyle w:val="4"/>
              <w:ind w:firstLine="480"/>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联系电话：</w:t>
            </w:r>
          </w:p>
          <w:p>
            <w:pPr>
              <w:spacing w:line="400" w:lineRule="exact"/>
              <w:ind w:firstLine="480" w:firstLineChars="200"/>
              <w:rPr>
                <w:rFonts w:ascii="仿宋" w:hAnsi="仿宋" w:eastAsia="仿宋" w:cs="Times New Roman"/>
                <w:color w:val="000000" w:themeColor="text1"/>
                <w:kern w:val="0"/>
                <w:sz w:val="24"/>
                <w14:textFill>
                  <w14:solidFill>
                    <w14:schemeClr w14:val="tx1"/>
                  </w14:solidFill>
                </w14:textFill>
              </w:rPr>
            </w:pPr>
          </w:p>
          <w:p>
            <w:pPr>
              <w:spacing w:line="400" w:lineRule="exact"/>
              <w:ind w:firstLine="2280" w:firstLineChars="950"/>
              <w:rPr>
                <w:rFonts w:ascii="仿宋" w:hAnsi="仿宋" w:eastAsia="仿宋" w:cs="Times New Roman"/>
                <w:color w:val="000000" w:themeColor="text1"/>
                <w:kern w:val="0"/>
                <w:sz w:val="24"/>
                <w14:textFill>
                  <w14:solidFill>
                    <w14:schemeClr w14:val="tx1"/>
                  </w14:solidFill>
                </w14:textFill>
              </w:rPr>
            </w:pPr>
            <w:r>
              <w:rPr>
                <w:rFonts w:ascii="仿宋" w:hAnsi="仿宋" w:eastAsia="仿宋" w:cs="Times New Roman"/>
                <w:color w:val="000000" w:themeColor="text1"/>
                <w:kern w:val="0"/>
                <w:sz w:val="24"/>
                <w14:textFill>
                  <w14:solidFill>
                    <w14:schemeClr w14:val="tx1"/>
                  </w14:solidFill>
                </w14:textFill>
              </w:rPr>
              <w:t>年  月  日</w:t>
            </w:r>
          </w:p>
        </w:tc>
      </w:tr>
    </w:tbl>
    <w:p>
      <w:pPr>
        <w:widowControl/>
        <w:spacing w:line="360" w:lineRule="atLeast"/>
        <w:ind w:firstLine="210" w:firstLineChars="100"/>
      </w:pPr>
      <w:r>
        <w:rPr>
          <w:rFonts w:hint="eastAsia" w:ascii="方正楷体_GBK" w:eastAsia="方正楷体_GBK"/>
          <w:color w:val="000000" w:themeColor="text1"/>
          <w:kern w:val="0"/>
          <w:szCs w:val="21"/>
          <w14:textFill>
            <w14:solidFill>
              <w14:schemeClr w14:val="tx1"/>
            </w14:solidFill>
          </w14:textFill>
        </w:rPr>
        <w:t>此告知书一式两份，一份由区县民政部门留存，一份交信用主体。</w:t>
      </w:r>
    </w:p>
    <w:p>
      <w:pPr>
        <w:spacing w:line="580" w:lineRule="exact"/>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附件</w:t>
      </w:r>
      <w:r>
        <w:rPr>
          <w:rFonts w:ascii="方正黑体_GBK" w:eastAsia="方正黑体_GBK"/>
          <w:color w:val="000000" w:themeColor="text1"/>
          <w:sz w:val="32"/>
          <w:szCs w:val="32"/>
          <w14:textFill>
            <w14:solidFill>
              <w14:schemeClr w14:val="tx1"/>
            </w14:solidFill>
          </w14:textFill>
        </w:rPr>
        <w:t>2</w:t>
      </w:r>
    </w:p>
    <w:p>
      <w:pPr>
        <w:spacing w:line="600" w:lineRule="exact"/>
        <w:jc w:val="center"/>
        <w:rPr>
          <w:rFonts w:ascii="方正小标宋_GBK" w:eastAsia="方正小标宋_GBK"/>
          <w:color w:val="000000" w:themeColor="text1"/>
          <w:kern w:val="0"/>
          <w:sz w:val="44"/>
          <w:szCs w:val="44"/>
          <w14:textFill>
            <w14:solidFill>
              <w14:schemeClr w14:val="tx1"/>
            </w14:solidFill>
          </w14:textFill>
        </w:rPr>
      </w:pPr>
      <w:r>
        <w:rPr>
          <w:rFonts w:hint="eastAsia" w:ascii="方正小标宋_GBK" w:eastAsia="方正小标宋_GBK"/>
          <w:color w:val="000000" w:themeColor="text1"/>
          <w:kern w:val="0"/>
          <w:sz w:val="44"/>
          <w:szCs w:val="44"/>
          <w14:textFill>
            <w14:solidFill>
              <w14:schemeClr w14:val="tx1"/>
            </w14:solidFill>
          </w14:textFill>
        </w:rPr>
        <w:t>列入重庆市养老服务市场</w:t>
      </w:r>
    </w:p>
    <w:p>
      <w:pPr>
        <w:widowControl/>
        <w:spacing w:line="600" w:lineRule="exact"/>
        <w:jc w:val="center"/>
        <w:rPr>
          <w:rFonts w:ascii="方正楷体_GBK" w:eastAsia="方正楷体_GBK"/>
          <w:color w:val="000000" w:themeColor="text1"/>
          <w:kern w:val="0"/>
          <w:sz w:val="44"/>
          <w:szCs w:val="44"/>
          <w14:textFill>
            <w14:solidFill>
              <w14:schemeClr w14:val="tx1"/>
            </w14:solidFill>
          </w14:textFill>
        </w:rPr>
      </w:pPr>
      <w:r>
        <w:rPr>
          <w:rFonts w:hint="eastAsia" w:ascii="方正小标宋_GBK" w:eastAsia="方正小标宋_GBK"/>
          <w:color w:val="000000" w:themeColor="text1"/>
          <w:kern w:val="0"/>
          <w:sz w:val="44"/>
          <w:szCs w:val="44"/>
          <w14:textFill>
            <w14:solidFill>
              <w14:schemeClr w14:val="tx1"/>
            </w14:solidFill>
          </w14:textFill>
        </w:rPr>
        <w:t>失信联合惩戒对象名单决定书</w:t>
      </w:r>
    </w:p>
    <w:p>
      <w:pPr>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                                   编号：000001</w:t>
      </w:r>
    </w:p>
    <w:tbl>
      <w:tblPr>
        <w:tblStyle w:val="13"/>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9"/>
        <w:gridCol w:w="1663"/>
        <w:gridCol w:w="2031"/>
        <w:gridCol w:w="58"/>
        <w:gridCol w:w="1914"/>
        <w:gridCol w:w="58"/>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vMerge w:val="restart"/>
            <w:tcMar>
              <w:top w:w="0" w:type="dxa"/>
              <w:left w:w="108" w:type="dxa"/>
              <w:bottom w:w="0" w:type="dxa"/>
              <w:right w:w="108" w:type="dxa"/>
            </w:tcMar>
            <w:vAlign w:val="center"/>
          </w:tcPr>
          <w:p>
            <w:pPr>
              <w:widowControl/>
              <w:spacing w:line="360" w:lineRule="atLeast"/>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信用主体基础信息</w:t>
            </w:r>
          </w:p>
        </w:tc>
        <w:tc>
          <w:tcPr>
            <w:tcW w:w="3752" w:type="dxa"/>
            <w:gridSpan w:val="3"/>
            <w:tcMar>
              <w:top w:w="0" w:type="dxa"/>
              <w:left w:w="108" w:type="dxa"/>
              <w:bottom w:w="0" w:type="dxa"/>
              <w:right w:w="108" w:type="dxa"/>
            </w:tcMar>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□市场主体</w:t>
            </w:r>
          </w:p>
        </w:tc>
        <w:tc>
          <w:tcPr>
            <w:tcW w:w="3829" w:type="dxa"/>
            <w:gridSpan w:val="3"/>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vMerge w:val="continue"/>
            <w:tcMar>
              <w:top w:w="0" w:type="dxa"/>
              <w:left w:w="108" w:type="dxa"/>
              <w:bottom w:w="0" w:type="dxa"/>
              <w:right w:w="108" w:type="dxa"/>
            </w:tcMar>
            <w:vAlign w:val="center"/>
          </w:tcPr>
          <w:p>
            <w:pPr>
              <w:widowControl/>
              <w:spacing w:line="360" w:lineRule="atLeast"/>
              <w:rPr>
                <w:rFonts w:ascii="方正仿宋_GBK" w:hAnsi="宋体" w:eastAsia="方正仿宋_GBK" w:cs="宋体"/>
                <w:color w:val="000000" w:themeColor="text1"/>
                <w:kern w:val="0"/>
                <w:sz w:val="24"/>
                <w14:textFill>
                  <w14:solidFill>
                    <w14:schemeClr w14:val="tx1"/>
                  </w14:solidFill>
                </w14:textFill>
              </w:rPr>
            </w:pPr>
          </w:p>
        </w:tc>
        <w:tc>
          <w:tcPr>
            <w:tcW w:w="1663" w:type="dxa"/>
            <w:tcMar>
              <w:top w:w="0" w:type="dxa"/>
              <w:left w:w="108" w:type="dxa"/>
              <w:bottom w:w="0" w:type="dxa"/>
              <w:right w:w="108" w:type="dxa"/>
            </w:tcMar>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名称</w:t>
            </w:r>
          </w:p>
        </w:tc>
        <w:tc>
          <w:tcPr>
            <w:tcW w:w="2089"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c>
          <w:tcPr>
            <w:tcW w:w="1914" w:type="dxa"/>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姓名</w:t>
            </w:r>
          </w:p>
        </w:tc>
        <w:tc>
          <w:tcPr>
            <w:tcW w:w="1915"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vMerge w:val="continue"/>
            <w:tcMar>
              <w:top w:w="0" w:type="dxa"/>
              <w:left w:w="108" w:type="dxa"/>
              <w:bottom w:w="0" w:type="dxa"/>
              <w:right w:w="108" w:type="dxa"/>
            </w:tcMar>
            <w:vAlign w:val="center"/>
          </w:tcPr>
          <w:p>
            <w:pPr>
              <w:widowControl/>
              <w:spacing w:line="360" w:lineRule="atLeast"/>
              <w:rPr>
                <w:rFonts w:ascii="方正仿宋_GBK" w:hAnsi="宋体" w:eastAsia="方正仿宋_GBK" w:cs="宋体"/>
                <w:color w:val="000000" w:themeColor="text1"/>
                <w:kern w:val="0"/>
                <w:sz w:val="24"/>
                <w14:textFill>
                  <w14:solidFill>
                    <w14:schemeClr w14:val="tx1"/>
                  </w14:solidFill>
                </w14:textFill>
              </w:rPr>
            </w:pPr>
          </w:p>
        </w:tc>
        <w:tc>
          <w:tcPr>
            <w:tcW w:w="1663" w:type="dxa"/>
            <w:tcMar>
              <w:top w:w="0" w:type="dxa"/>
              <w:left w:w="108" w:type="dxa"/>
              <w:bottom w:w="0" w:type="dxa"/>
              <w:right w:w="108" w:type="dxa"/>
            </w:tcMar>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统一社会</w:t>
            </w:r>
          </w:p>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信用代码</w:t>
            </w:r>
          </w:p>
        </w:tc>
        <w:tc>
          <w:tcPr>
            <w:tcW w:w="2089"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c>
          <w:tcPr>
            <w:tcW w:w="1914" w:type="dxa"/>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有效证件类型</w:t>
            </w:r>
          </w:p>
        </w:tc>
        <w:tc>
          <w:tcPr>
            <w:tcW w:w="1915"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vMerge w:val="continue"/>
            <w:tcMar>
              <w:top w:w="0" w:type="dxa"/>
              <w:left w:w="108" w:type="dxa"/>
              <w:bottom w:w="0" w:type="dxa"/>
              <w:right w:w="108" w:type="dxa"/>
            </w:tcMar>
            <w:vAlign w:val="center"/>
          </w:tcPr>
          <w:p>
            <w:pPr>
              <w:widowControl/>
              <w:spacing w:line="360" w:lineRule="atLeast"/>
              <w:rPr>
                <w:rFonts w:ascii="方正仿宋_GBK" w:hAnsi="宋体" w:eastAsia="方正仿宋_GBK" w:cs="宋体"/>
                <w:color w:val="000000" w:themeColor="text1"/>
                <w:kern w:val="0"/>
                <w:sz w:val="24"/>
                <w14:textFill>
                  <w14:solidFill>
                    <w14:schemeClr w14:val="tx1"/>
                  </w14:solidFill>
                </w14:textFill>
              </w:rPr>
            </w:pPr>
          </w:p>
        </w:tc>
        <w:tc>
          <w:tcPr>
            <w:tcW w:w="1663" w:type="dxa"/>
            <w:tcMar>
              <w:top w:w="0" w:type="dxa"/>
              <w:left w:w="108" w:type="dxa"/>
              <w:bottom w:w="0" w:type="dxa"/>
              <w:right w:w="108" w:type="dxa"/>
            </w:tcMar>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法定代表人或主要负责人</w:t>
            </w:r>
          </w:p>
        </w:tc>
        <w:tc>
          <w:tcPr>
            <w:tcW w:w="2089"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c>
          <w:tcPr>
            <w:tcW w:w="1914" w:type="dxa"/>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证件号码</w:t>
            </w:r>
          </w:p>
        </w:tc>
        <w:tc>
          <w:tcPr>
            <w:tcW w:w="1915"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vMerge w:val="continue"/>
            <w:tcMar>
              <w:top w:w="0" w:type="dxa"/>
              <w:left w:w="108" w:type="dxa"/>
              <w:bottom w:w="0" w:type="dxa"/>
              <w:right w:w="108" w:type="dxa"/>
            </w:tcMar>
            <w:vAlign w:val="center"/>
          </w:tcPr>
          <w:p>
            <w:pPr>
              <w:widowControl/>
              <w:spacing w:line="360" w:lineRule="atLeast"/>
              <w:rPr>
                <w:rFonts w:ascii="方正仿宋_GBK" w:hAnsi="宋体" w:eastAsia="方正仿宋_GBK" w:cs="宋体"/>
                <w:color w:val="000000" w:themeColor="text1"/>
                <w:kern w:val="0"/>
                <w:sz w:val="24"/>
                <w14:textFill>
                  <w14:solidFill>
                    <w14:schemeClr w14:val="tx1"/>
                  </w14:solidFill>
                </w14:textFill>
              </w:rPr>
            </w:pPr>
          </w:p>
        </w:tc>
        <w:tc>
          <w:tcPr>
            <w:tcW w:w="1663" w:type="dxa"/>
            <w:tcMar>
              <w:top w:w="0" w:type="dxa"/>
              <w:left w:w="108" w:type="dxa"/>
              <w:bottom w:w="0" w:type="dxa"/>
              <w:right w:w="108" w:type="dxa"/>
            </w:tcMar>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有效证件类型</w:t>
            </w:r>
          </w:p>
        </w:tc>
        <w:tc>
          <w:tcPr>
            <w:tcW w:w="2089"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c>
          <w:tcPr>
            <w:tcW w:w="1914" w:type="dxa"/>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工作单位</w:t>
            </w:r>
          </w:p>
        </w:tc>
        <w:tc>
          <w:tcPr>
            <w:tcW w:w="1915"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vMerge w:val="continue"/>
            <w:tcMar>
              <w:top w:w="0" w:type="dxa"/>
              <w:left w:w="108" w:type="dxa"/>
              <w:bottom w:w="0" w:type="dxa"/>
              <w:right w:w="108" w:type="dxa"/>
            </w:tcMar>
            <w:vAlign w:val="center"/>
          </w:tcPr>
          <w:p>
            <w:pPr>
              <w:widowControl/>
              <w:spacing w:line="360" w:lineRule="atLeast"/>
              <w:rPr>
                <w:rFonts w:ascii="方正仿宋_GBK" w:hAnsi="宋体" w:eastAsia="方正仿宋_GBK" w:cs="宋体"/>
                <w:color w:val="000000" w:themeColor="text1"/>
                <w:kern w:val="0"/>
                <w:sz w:val="24"/>
                <w14:textFill>
                  <w14:solidFill>
                    <w14:schemeClr w14:val="tx1"/>
                  </w14:solidFill>
                </w14:textFill>
              </w:rPr>
            </w:pPr>
          </w:p>
        </w:tc>
        <w:tc>
          <w:tcPr>
            <w:tcW w:w="1663" w:type="dxa"/>
            <w:tcMar>
              <w:top w:w="0" w:type="dxa"/>
              <w:left w:w="108" w:type="dxa"/>
              <w:bottom w:w="0" w:type="dxa"/>
              <w:right w:w="108" w:type="dxa"/>
            </w:tcMar>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证件号码</w:t>
            </w:r>
          </w:p>
        </w:tc>
        <w:tc>
          <w:tcPr>
            <w:tcW w:w="2089"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c>
          <w:tcPr>
            <w:tcW w:w="1914" w:type="dxa"/>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职务（职级）/岗位</w:t>
            </w:r>
          </w:p>
        </w:tc>
        <w:tc>
          <w:tcPr>
            <w:tcW w:w="1915" w:type="dxa"/>
            <w:gridSpan w:val="2"/>
            <w:vAlign w:val="center"/>
          </w:tcPr>
          <w:p>
            <w:pPr>
              <w:widowControl/>
              <w:spacing w:line="26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4" w:hRule="atLeast"/>
          <w:jc w:val="center"/>
        </w:trPr>
        <w:tc>
          <w:tcPr>
            <w:tcW w:w="8960" w:type="dxa"/>
            <w:gridSpan w:val="7"/>
            <w:tcMar>
              <w:top w:w="0" w:type="dxa"/>
              <w:left w:w="108" w:type="dxa"/>
              <w:bottom w:w="0" w:type="dxa"/>
              <w:right w:w="108" w:type="dxa"/>
            </w:tcMar>
            <w:vAlign w:val="center"/>
          </w:tcPr>
          <w:p>
            <w:pPr>
              <w:widowControl/>
              <w:spacing w:line="3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失信联合惩戒对象名单认定记录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tcMar>
              <w:top w:w="0" w:type="dxa"/>
              <w:left w:w="108" w:type="dxa"/>
              <w:bottom w:w="0" w:type="dxa"/>
              <w:right w:w="108" w:type="dxa"/>
            </w:tcMar>
            <w:vAlign w:val="center"/>
          </w:tcPr>
          <w:p>
            <w:pPr>
              <w:widowControl/>
              <w:spacing w:line="3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失信记录标题</w:t>
            </w:r>
          </w:p>
        </w:tc>
        <w:tc>
          <w:tcPr>
            <w:tcW w:w="7581" w:type="dxa"/>
            <w:gridSpan w:val="6"/>
            <w:tcMar>
              <w:top w:w="0" w:type="dxa"/>
              <w:left w:w="108" w:type="dxa"/>
              <w:bottom w:w="0" w:type="dxa"/>
              <w:right w:w="108" w:type="dxa"/>
            </w:tcMar>
            <w:vAlign w:val="center"/>
          </w:tcPr>
          <w:p>
            <w:pPr>
              <w:widowControl/>
              <w:spacing w:line="36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tcMar>
              <w:top w:w="0" w:type="dxa"/>
              <w:left w:w="108" w:type="dxa"/>
              <w:bottom w:w="0" w:type="dxa"/>
              <w:right w:w="108" w:type="dxa"/>
            </w:tcMar>
            <w:vAlign w:val="center"/>
          </w:tcPr>
          <w:p>
            <w:pPr>
              <w:widowControl/>
              <w:spacing w:line="3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列入事实简述</w:t>
            </w:r>
          </w:p>
        </w:tc>
        <w:tc>
          <w:tcPr>
            <w:tcW w:w="7581" w:type="dxa"/>
            <w:gridSpan w:val="6"/>
            <w:tcMar>
              <w:top w:w="0" w:type="dxa"/>
              <w:left w:w="108" w:type="dxa"/>
              <w:bottom w:w="0" w:type="dxa"/>
              <w:right w:w="108" w:type="dxa"/>
            </w:tcMar>
            <w:vAlign w:val="center"/>
          </w:tcPr>
          <w:p>
            <w:pPr>
              <w:widowControl/>
              <w:spacing w:line="36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1379" w:type="dxa"/>
            <w:tcMar>
              <w:top w:w="0" w:type="dxa"/>
              <w:left w:w="108" w:type="dxa"/>
              <w:bottom w:w="0" w:type="dxa"/>
              <w:right w:w="108" w:type="dxa"/>
            </w:tcMar>
            <w:vAlign w:val="center"/>
          </w:tcPr>
          <w:p>
            <w:pPr>
              <w:widowControl/>
              <w:spacing w:line="3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认定依据</w:t>
            </w:r>
          </w:p>
        </w:tc>
        <w:tc>
          <w:tcPr>
            <w:tcW w:w="7581" w:type="dxa"/>
            <w:gridSpan w:val="6"/>
            <w:tcMar>
              <w:top w:w="0" w:type="dxa"/>
              <w:left w:w="108" w:type="dxa"/>
              <w:bottom w:w="0" w:type="dxa"/>
              <w:right w:w="108" w:type="dxa"/>
            </w:tcMar>
            <w:vAlign w:val="center"/>
          </w:tcPr>
          <w:p>
            <w:pPr>
              <w:widowControl/>
              <w:spacing w:line="36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tcMar>
              <w:top w:w="0" w:type="dxa"/>
              <w:left w:w="108" w:type="dxa"/>
              <w:bottom w:w="0" w:type="dxa"/>
              <w:right w:w="108" w:type="dxa"/>
            </w:tcMar>
            <w:vAlign w:val="center"/>
          </w:tcPr>
          <w:p>
            <w:pPr>
              <w:widowControl/>
              <w:spacing w:line="3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信息</w:t>
            </w:r>
          </w:p>
          <w:p>
            <w:pPr>
              <w:widowControl/>
              <w:spacing w:line="36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有效期</w:t>
            </w:r>
          </w:p>
        </w:tc>
        <w:tc>
          <w:tcPr>
            <w:tcW w:w="7581" w:type="dxa"/>
            <w:gridSpan w:val="6"/>
            <w:tcMar>
              <w:top w:w="0" w:type="dxa"/>
              <w:left w:w="108" w:type="dxa"/>
              <w:bottom w:w="0" w:type="dxa"/>
              <w:right w:w="108" w:type="dxa"/>
            </w:tcMar>
            <w:vAlign w:val="center"/>
          </w:tcPr>
          <w:p>
            <w:pPr>
              <w:widowControl/>
              <w:spacing w:line="360" w:lineRule="exact"/>
              <w:jc w:val="center"/>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自    年    月    日起至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6" w:hRule="atLeast"/>
          <w:jc w:val="center"/>
        </w:trPr>
        <w:tc>
          <w:tcPr>
            <w:tcW w:w="1379" w:type="dxa"/>
            <w:tcMar>
              <w:top w:w="0" w:type="dxa"/>
              <w:left w:w="108" w:type="dxa"/>
              <w:bottom w:w="0" w:type="dxa"/>
              <w:right w:w="108" w:type="dxa"/>
            </w:tcMar>
            <w:vAlign w:val="center"/>
          </w:tcPr>
          <w:p>
            <w:pPr>
              <w:widowControl/>
              <w:jc w:val="center"/>
              <w:rPr>
                <w:rFonts w:ascii="方正仿宋_GBK" w:eastAsia="方正仿宋_GBK"/>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区县民政部门审核意见</w:t>
            </w:r>
          </w:p>
        </w:tc>
        <w:tc>
          <w:tcPr>
            <w:tcW w:w="7581" w:type="dxa"/>
            <w:gridSpan w:val="6"/>
            <w:vAlign w:val="center"/>
          </w:tcPr>
          <w:p>
            <w:pPr>
              <w:spacing w:line="400" w:lineRule="exact"/>
              <w:ind w:right="480"/>
              <w:jc w:val="right"/>
              <w:rPr>
                <w:rFonts w:ascii="仿宋" w:hAnsi="仿宋" w:eastAsia="仿宋" w:cs="Times New Roman"/>
                <w:color w:val="000000" w:themeColor="text1"/>
                <w:kern w:val="0"/>
                <w:sz w:val="24"/>
                <w14:textFill>
                  <w14:solidFill>
                    <w14:schemeClr w14:val="tx1"/>
                  </w14:solidFill>
                </w14:textFill>
              </w:rPr>
            </w:pPr>
          </w:p>
          <w:p>
            <w:pPr>
              <w:spacing w:line="400" w:lineRule="exact"/>
              <w:ind w:right="480"/>
              <w:jc w:val="right"/>
              <w:rPr>
                <w:rFonts w:ascii="仿宋" w:hAnsi="仿宋" w:eastAsia="仿宋" w:cs="Times New Roman"/>
                <w:color w:val="000000" w:themeColor="text1"/>
                <w:kern w:val="0"/>
                <w:sz w:val="24"/>
                <w14:textFill>
                  <w14:solidFill>
                    <w14:schemeClr w14:val="tx1"/>
                  </w14:solidFill>
                </w14:textFill>
              </w:rPr>
            </w:pPr>
          </w:p>
          <w:p>
            <w:pPr>
              <w:spacing w:line="400" w:lineRule="exact"/>
              <w:ind w:right="480"/>
              <w:jc w:val="right"/>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盖章</w:t>
            </w:r>
          </w:p>
          <w:p>
            <w:pPr>
              <w:widowControl/>
              <w:jc w:val="center"/>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79" w:type="dxa"/>
            <w:tcMar>
              <w:top w:w="0" w:type="dxa"/>
              <w:left w:w="108" w:type="dxa"/>
              <w:bottom w:w="0" w:type="dxa"/>
              <w:right w:w="108" w:type="dxa"/>
            </w:tcMar>
            <w:vAlign w:val="center"/>
          </w:tcPr>
          <w:p>
            <w:pPr>
              <w:widowControl/>
              <w:spacing w:line="300" w:lineRule="atLeas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经办人</w:t>
            </w:r>
          </w:p>
        </w:tc>
        <w:tc>
          <w:tcPr>
            <w:tcW w:w="3694" w:type="dxa"/>
            <w:gridSpan w:val="2"/>
            <w:tcMar>
              <w:top w:w="0" w:type="dxa"/>
              <w:left w:w="108" w:type="dxa"/>
              <w:bottom w:w="0" w:type="dxa"/>
              <w:right w:w="108" w:type="dxa"/>
            </w:tcMar>
            <w:vAlign w:val="center"/>
          </w:tcPr>
          <w:p>
            <w:pPr>
              <w:widowControl/>
              <w:jc w:val="center"/>
              <w:rPr>
                <w:rFonts w:ascii="方正仿宋_GBK" w:eastAsia="方正仿宋_GBK"/>
                <w:color w:val="000000" w:themeColor="text1"/>
                <w:kern w:val="0"/>
                <w:sz w:val="24"/>
                <w14:textFill>
                  <w14:solidFill>
                    <w14:schemeClr w14:val="tx1"/>
                  </w14:solidFill>
                </w14:textFill>
              </w:rPr>
            </w:pPr>
          </w:p>
        </w:tc>
        <w:tc>
          <w:tcPr>
            <w:tcW w:w="2030" w:type="dxa"/>
            <w:gridSpan w:val="3"/>
            <w:vAlign w:val="center"/>
          </w:tcPr>
          <w:p>
            <w:pPr>
              <w:widowControl/>
              <w:jc w:val="center"/>
              <w:rPr>
                <w:rFonts w:ascii="方正仿宋_GBK" w:eastAsia="方正仿宋_GBK"/>
                <w:color w:val="000000" w:themeColor="text1"/>
                <w:kern w:val="0"/>
                <w:sz w:val="24"/>
                <w14:textFill>
                  <w14:solidFill>
                    <w14:schemeClr w14:val="tx1"/>
                  </w14:solidFill>
                </w14:textFill>
              </w:rPr>
            </w:pPr>
            <w:r>
              <w:rPr>
                <w:rFonts w:hint="eastAsia" w:ascii="方正仿宋_GBK" w:eastAsia="方正仿宋_GBK"/>
                <w:color w:val="000000" w:themeColor="text1"/>
                <w:kern w:val="0"/>
                <w:sz w:val="24"/>
                <w14:textFill>
                  <w14:solidFill>
                    <w14:schemeClr w14:val="tx1"/>
                  </w14:solidFill>
                </w14:textFill>
              </w:rPr>
              <w:t>联系电话</w:t>
            </w:r>
          </w:p>
        </w:tc>
        <w:tc>
          <w:tcPr>
            <w:tcW w:w="1857" w:type="dxa"/>
            <w:vAlign w:val="center"/>
          </w:tcPr>
          <w:p>
            <w:pPr>
              <w:widowControl/>
              <w:jc w:val="center"/>
              <w:rPr>
                <w:rFonts w:ascii="方正仿宋_GBK" w:eastAsia="方正仿宋_GBK"/>
                <w:color w:val="000000" w:themeColor="text1"/>
                <w:kern w:val="0"/>
                <w:sz w:val="24"/>
                <w14:textFill>
                  <w14:solidFill>
                    <w14:schemeClr w14:val="tx1"/>
                  </w14:solidFill>
                </w14:textFill>
              </w:rPr>
            </w:pPr>
          </w:p>
        </w:tc>
      </w:tr>
    </w:tbl>
    <w:p>
      <w:pPr>
        <w:widowControl/>
        <w:spacing w:line="360" w:lineRule="atLeast"/>
        <w:ind w:firstLine="170" w:firstLineChars="100"/>
      </w:pPr>
      <w:r>
        <w:rPr>
          <w:rFonts w:hint="eastAsia" w:ascii="方正楷体_GBK" w:eastAsia="方正楷体_GBK"/>
          <w:color w:val="000000" w:themeColor="text1"/>
          <w:spacing w:val="-20"/>
          <w:kern w:val="0"/>
          <w:szCs w:val="21"/>
          <w14:textFill>
            <w14:solidFill>
              <w14:schemeClr w14:val="tx1"/>
            </w14:solidFill>
          </w14:textFill>
        </w:rPr>
        <w:t>本表一式叁份，一份交由信用主体，区县民政部门、市民政局各留一份存档。</w:t>
      </w:r>
    </w:p>
    <w:p>
      <w:pPr>
        <w:adjustRightInd w:val="0"/>
        <w:snapToGrid w:val="0"/>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附件3</w:t>
      </w:r>
    </w:p>
    <w:p>
      <w:pPr>
        <w:adjustRightInd w:val="0"/>
        <w:snapToGrid w:val="0"/>
        <w:jc w:val="center"/>
        <w:rPr>
          <w:rFonts w:ascii="方正小标宋_GBK" w:eastAsia="方正小标宋_GBK"/>
          <w:color w:val="000000" w:themeColor="text1"/>
          <w:kern w:val="0"/>
          <w:sz w:val="44"/>
          <w:szCs w:val="44"/>
          <w14:textFill>
            <w14:solidFill>
              <w14:schemeClr w14:val="tx1"/>
            </w14:solidFill>
          </w14:textFill>
        </w:rPr>
      </w:pPr>
      <w:r>
        <w:rPr>
          <w:rFonts w:hint="eastAsia" w:ascii="方正小标宋_GBK" w:eastAsia="方正小标宋_GBK"/>
          <w:color w:val="000000" w:themeColor="text1"/>
          <w:kern w:val="0"/>
          <w:sz w:val="44"/>
          <w:szCs w:val="44"/>
          <w14:textFill>
            <w14:solidFill>
              <w14:schemeClr w14:val="tx1"/>
            </w14:solidFill>
          </w14:textFill>
        </w:rPr>
        <w:t>重庆市养老服务市场</w:t>
      </w:r>
    </w:p>
    <w:p>
      <w:pPr>
        <w:widowControl/>
        <w:adjustRightInd w:val="0"/>
        <w:snapToGrid w:val="0"/>
        <w:ind w:firstLine="202"/>
        <w:jc w:val="center"/>
        <w:rPr>
          <w:rFonts w:ascii="宋体" w:hAnsi="宋体" w:cs="宋体"/>
          <w:color w:val="000000" w:themeColor="text1"/>
          <w:kern w:val="0"/>
          <w:sz w:val="44"/>
          <w:szCs w:val="44"/>
          <w14:textFill>
            <w14:solidFill>
              <w14:schemeClr w14:val="tx1"/>
            </w14:solidFill>
          </w14:textFill>
        </w:rPr>
      </w:pPr>
      <w:r>
        <w:rPr>
          <w:rFonts w:hint="eastAsia" w:ascii="方正小标宋_GBK" w:eastAsia="方正小标宋_GBK"/>
          <w:color w:val="000000" w:themeColor="text1"/>
          <w:kern w:val="0"/>
          <w:sz w:val="44"/>
          <w:szCs w:val="44"/>
          <w14:textFill>
            <w14:solidFill>
              <w14:schemeClr w14:val="tx1"/>
            </w14:solidFill>
          </w14:textFill>
        </w:rPr>
        <w:t>失信联合惩戒对象名单移出申请表</w:t>
      </w:r>
    </w:p>
    <w:tbl>
      <w:tblPr>
        <w:tblStyle w:val="13"/>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0"/>
        <w:gridCol w:w="3251"/>
        <w:gridCol w:w="1268"/>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490"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市场主体名称</w:t>
            </w:r>
          </w:p>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（自然人姓名）</w:t>
            </w:r>
          </w:p>
        </w:tc>
        <w:tc>
          <w:tcPr>
            <w:tcW w:w="6210" w:type="dxa"/>
            <w:gridSpan w:val="3"/>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490"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统一社会信用代码</w:t>
            </w:r>
          </w:p>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（公民身份证号码）</w:t>
            </w:r>
          </w:p>
        </w:tc>
        <w:tc>
          <w:tcPr>
            <w:tcW w:w="3251"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c>
          <w:tcPr>
            <w:tcW w:w="1268"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申请日期</w:t>
            </w:r>
          </w:p>
        </w:tc>
        <w:tc>
          <w:tcPr>
            <w:tcW w:w="1691"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490"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联系人</w:t>
            </w:r>
          </w:p>
        </w:tc>
        <w:tc>
          <w:tcPr>
            <w:tcW w:w="3251"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c>
          <w:tcPr>
            <w:tcW w:w="1268"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联系电话</w:t>
            </w:r>
          </w:p>
        </w:tc>
        <w:tc>
          <w:tcPr>
            <w:tcW w:w="1691"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490"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通讯地址</w:t>
            </w:r>
          </w:p>
        </w:tc>
        <w:tc>
          <w:tcPr>
            <w:tcW w:w="6210" w:type="dxa"/>
            <w:gridSpan w:val="3"/>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700" w:type="dxa"/>
            <w:gridSpan w:val="4"/>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移出申请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490"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失信记录标题</w:t>
            </w:r>
          </w:p>
        </w:tc>
        <w:tc>
          <w:tcPr>
            <w:tcW w:w="6210" w:type="dxa"/>
            <w:gridSpan w:val="3"/>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490"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失信记录</w:t>
            </w:r>
          </w:p>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列入决定书编号</w:t>
            </w:r>
          </w:p>
        </w:tc>
        <w:tc>
          <w:tcPr>
            <w:tcW w:w="6210" w:type="dxa"/>
            <w:gridSpan w:val="3"/>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490"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符合移出情形</w:t>
            </w:r>
          </w:p>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佐证材料</w:t>
            </w:r>
          </w:p>
        </w:tc>
        <w:tc>
          <w:tcPr>
            <w:tcW w:w="6210" w:type="dxa"/>
            <w:gridSpan w:val="3"/>
            <w:tcMar>
              <w:top w:w="0" w:type="dxa"/>
              <w:left w:w="108" w:type="dxa"/>
              <w:bottom w:w="0" w:type="dxa"/>
              <w:right w:w="108" w:type="dxa"/>
            </w:tcMar>
            <w:vAlign w:val="center"/>
          </w:tcPr>
          <w:p>
            <w:pPr>
              <w:widowControl/>
              <w:spacing w:line="400" w:lineRule="exact"/>
              <w:jc w:val="right"/>
              <w:rPr>
                <w:rFonts w:ascii="仿宋" w:hAnsi="仿宋" w:eastAsia="仿宋" w:cs="Times New Roman"/>
                <w:color w:val="000000" w:themeColor="text1"/>
                <w:kern w:val="0"/>
                <w:sz w:val="24"/>
                <w14:textFill>
                  <w14:solidFill>
                    <w14:schemeClr w14:val="tx1"/>
                  </w14:solidFill>
                </w14:textFill>
              </w:rPr>
            </w:pPr>
          </w:p>
          <w:p>
            <w:pPr>
              <w:widowControl/>
              <w:spacing w:line="400" w:lineRule="exact"/>
              <w:jc w:val="right"/>
              <w:rPr>
                <w:rFonts w:ascii="仿宋" w:hAnsi="仿宋" w:eastAsia="仿宋" w:cs="Times New Roman"/>
                <w:color w:val="000000" w:themeColor="text1"/>
                <w:kern w:val="0"/>
                <w:sz w:val="24"/>
                <w14:textFill>
                  <w14:solidFill>
                    <w14:schemeClr w14:val="tx1"/>
                  </w14:solidFill>
                </w14:textFill>
              </w:rPr>
            </w:pPr>
          </w:p>
          <w:p>
            <w:pPr>
              <w:widowControl/>
              <w:spacing w:line="400" w:lineRule="exact"/>
              <w:jc w:val="right"/>
              <w:rPr>
                <w:rFonts w:ascii="仿宋" w:hAnsi="仿宋" w:eastAsia="仿宋" w:cs="Times New Roman"/>
                <w:color w:val="000000" w:themeColor="text1"/>
                <w:kern w:val="0"/>
                <w:sz w:val="24"/>
                <w14:textFill>
                  <w14:solidFill>
                    <w14:schemeClr w14:val="tx1"/>
                  </w14:solidFill>
                </w14:textFill>
              </w:rPr>
            </w:pPr>
          </w:p>
          <w:p>
            <w:pPr>
              <w:widowControl/>
              <w:spacing w:line="400" w:lineRule="exact"/>
              <w:jc w:val="right"/>
              <w:rPr>
                <w:rFonts w:ascii="仿宋" w:hAnsi="仿宋" w:eastAsia="仿宋" w:cs="Times New Roman"/>
                <w:color w:val="000000" w:themeColor="text1"/>
                <w:kern w:val="0"/>
                <w:sz w:val="24"/>
                <w14:textFill>
                  <w14:solidFill>
                    <w14:schemeClr w14:val="tx1"/>
                  </w14:solidFill>
                </w14:textFill>
              </w:rPr>
            </w:pPr>
          </w:p>
          <w:p>
            <w:pPr>
              <w:widowControl/>
              <w:spacing w:line="400" w:lineRule="exact"/>
              <w:jc w:val="center"/>
              <w:rPr>
                <w:rFonts w:ascii="仿宋" w:hAnsi="仿宋" w:eastAsia="仿宋" w:cs="Times New Roman"/>
                <w:color w:val="000000" w:themeColor="text1"/>
                <w:kern w:val="0"/>
                <w:sz w:val="24"/>
                <w14:textFill>
                  <w14:solidFill>
                    <w14:schemeClr w14:val="tx1"/>
                  </w14:solidFill>
                </w14:textFill>
              </w:rPr>
            </w:pPr>
          </w:p>
          <w:p>
            <w:pPr>
              <w:widowControl/>
              <w:spacing w:line="400" w:lineRule="exact"/>
              <w:jc w:val="right"/>
              <w:rPr>
                <w:rFonts w:ascii="仿宋" w:hAnsi="仿宋" w:eastAsia="仿宋" w:cs="Times New Roman"/>
                <w:color w:val="000000" w:themeColor="text1"/>
                <w:kern w:val="0"/>
                <w:sz w:val="24"/>
                <w14:textFill>
                  <w14:solidFill>
                    <w14:schemeClr w14:val="tx1"/>
                  </w14:solidFill>
                </w14:textFill>
              </w:rPr>
            </w:pPr>
          </w:p>
          <w:p>
            <w:pPr>
              <w:widowControl/>
              <w:spacing w:line="400" w:lineRule="exact"/>
              <w:jc w:val="center"/>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490"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信用承诺</w:t>
            </w:r>
          </w:p>
        </w:tc>
        <w:tc>
          <w:tcPr>
            <w:tcW w:w="6210" w:type="dxa"/>
            <w:gridSpan w:val="3"/>
            <w:tcMar>
              <w:top w:w="0" w:type="dxa"/>
              <w:left w:w="108" w:type="dxa"/>
              <w:bottom w:w="0" w:type="dxa"/>
              <w:right w:w="108" w:type="dxa"/>
            </w:tcMar>
            <w:vAlign w:val="center"/>
          </w:tcPr>
          <w:p>
            <w:pPr>
              <w:widowControl/>
              <w:spacing w:line="400" w:lineRule="exact"/>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 xml:space="preserve">   本市场主体（本人）承诺所填写内容和提交相关材料真实有效，并承担由此产生的一切后果。</w:t>
            </w:r>
          </w:p>
          <w:p>
            <w:pPr>
              <w:widowControl/>
              <w:spacing w:line="400" w:lineRule="exact"/>
              <w:jc w:val="center"/>
              <w:rPr>
                <w:rFonts w:ascii="仿宋" w:hAnsi="仿宋" w:eastAsia="仿宋" w:cs="Times New Roman"/>
                <w:color w:val="000000" w:themeColor="text1"/>
                <w:kern w:val="0"/>
                <w:sz w:val="24"/>
                <w14:textFill>
                  <w14:solidFill>
                    <w14:schemeClr w14:val="tx1"/>
                  </w14:solidFill>
                </w14:textFill>
              </w:rPr>
            </w:pPr>
          </w:p>
          <w:p>
            <w:pPr>
              <w:widowControl/>
              <w:spacing w:line="400" w:lineRule="exact"/>
              <w:jc w:val="center"/>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 xml:space="preserve">                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2490" w:type="dxa"/>
            <w:shd w:val="clear" w:color="auto" w:fill="FFFFFF"/>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备注</w:t>
            </w:r>
          </w:p>
        </w:tc>
        <w:tc>
          <w:tcPr>
            <w:tcW w:w="6210" w:type="dxa"/>
            <w:gridSpan w:val="3"/>
            <w:shd w:val="clear" w:color="auto" w:fill="FFFFFF"/>
            <w:tcMar>
              <w:top w:w="0" w:type="dxa"/>
              <w:left w:w="108" w:type="dxa"/>
              <w:bottom w:w="0" w:type="dxa"/>
              <w:right w:w="108" w:type="dxa"/>
            </w:tcMar>
            <w:vAlign w:val="center"/>
          </w:tcPr>
          <w:p>
            <w:pPr>
              <w:widowControl/>
              <w:spacing w:line="400" w:lineRule="exact"/>
              <w:jc w:val="left"/>
              <w:rPr>
                <w:rFonts w:ascii="方正仿宋_GBK" w:hAnsi="宋体" w:eastAsia="方正仿宋_GBK" w:cs="宋体"/>
                <w:color w:val="000000" w:themeColor="text1"/>
                <w:kern w:val="0"/>
                <w:sz w:val="24"/>
                <w14:textFill>
                  <w14:solidFill>
                    <w14:schemeClr w14:val="tx1"/>
                  </w14:solidFill>
                </w14:textFill>
              </w:rPr>
            </w:pPr>
          </w:p>
        </w:tc>
      </w:tr>
    </w:tbl>
    <w:p>
      <w:pPr>
        <w:widowControl/>
        <w:spacing w:line="360" w:lineRule="atLeast"/>
        <w:ind w:firstLine="210" w:firstLineChars="100"/>
      </w:pPr>
      <w:r>
        <w:rPr>
          <w:rFonts w:hint="eastAsia" w:ascii="方正楷体_GBK" w:eastAsia="方正楷体_GBK"/>
          <w:color w:val="000000" w:themeColor="text1"/>
          <w:kern w:val="0"/>
          <w:szCs w:val="21"/>
          <w14:textFill>
            <w14:solidFill>
              <w14:schemeClr w14:val="tx1"/>
            </w14:solidFill>
          </w14:textFill>
        </w:rPr>
        <w:t>本表由区县民政部门留存。</w:t>
      </w:r>
    </w:p>
    <w:p>
      <w:pPr>
        <w:adjustRightInd w:val="0"/>
        <w:snapToGrid w:val="0"/>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附件</w:t>
      </w:r>
      <w:r>
        <w:rPr>
          <w:rFonts w:ascii="方正黑体_GBK" w:eastAsia="方正黑体_GBK"/>
          <w:color w:val="000000" w:themeColor="text1"/>
          <w:sz w:val="32"/>
          <w:szCs w:val="32"/>
          <w14:textFill>
            <w14:solidFill>
              <w14:schemeClr w14:val="tx1"/>
            </w14:solidFill>
          </w14:textFill>
        </w:rPr>
        <w:t>4</w:t>
      </w:r>
    </w:p>
    <w:p>
      <w:pPr>
        <w:adjustRightInd w:val="0"/>
        <w:snapToGrid w:val="0"/>
        <w:jc w:val="center"/>
        <w:rPr>
          <w:rFonts w:ascii="方正小标宋_GBK" w:eastAsia="方正小标宋_GBK"/>
          <w:color w:val="000000" w:themeColor="text1"/>
          <w:kern w:val="0"/>
          <w:sz w:val="44"/>
          <w:szCs w:val="44"/>
          <w14:textFill>
            <w14:solidFill>
              <w14:schemeClr w14:val="tx1"/>
            </w14:solidFill>
          </w14:textFill>
        </w:rPr>
      </w:pPr>
      <w:r>
        <w:rPr>
          <w:rFonts w:hint="eastAsia" w:ascii="方正小标宋_GBK" w:eastAsia="方正小标宋_GBK"/>
          <w:color w:val="000000" w:themeColor="text1"/>
          <w:kern w:val="0"/>
          <w:sz w:val="44"/>
          <w:szCs w:val="44"/>
          <w14:textFill>
            <w14:solidFill>
              <w14:schemeClr w14:val="tx1"/>
            </w14:solidFill>
          </w14:textFill>
        </w:rPr>
        <w:t>重庆市养老服务市场</w:t>
      </w:r>
    </w:p>
    <w:p>
      <w:pPr>
        <w:widowControl/>
        <w:adjustRightInd w:val="0"/>
        <w:snapToGrid w:val="0"/>
        <w:jc w:val="center"/>
        <w:rPr>
          <w:rFonts w:ascii="方正楷体_GBK" w:eastAsia="方正楷体_GBK"/>
          <w:color w:val="000000" w:themeColor="text1"/>
          <w:kern w:val="0"/>
          <w:sz w:val="44"/>
          <w:szCs w:val="44"/>
          <w14:textFill>
            <w14:solidFill>
              <w14:schemeClr w14:val="tx1"/>
            </w14:solidFill>
          </w14:textFill>
        </w:rPr>
      </w:pPr>
      <w:r>
        <w:rPr>
          <w:rFonts w:hint="eastAsia" w:ascii="方正小标宋_GBK" w:eastAsia="方正小标宋_GBK"/>
          <w:color w:val="000000" w:themeColor="text1"/>
          <w:kern w:val="0"/>
          <w:sz w:val="44"/>
          <w:szCs w:val="44"/>
          <w14:textFill>
            <w14:solidFill>
              <w14:schemeClr w14:val="tx1"/>
            </w14:solidFill>
          </w14:textFill>
        </w:rPr>
        <w:t>失信联合惩戒对象名单移出决定书</w:t>
      </w:r>
    </w:p>
    <w:p>
      <w:pPr>
        <w:adjustRightInd w:val="0"/>
        <w:snapToGrid w:val="0"/>
        <w:jc w:val="center"/>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                                编号：000001</w:t>
      </w:r>
    </w:p>
    <w:tbl>
      <w:tblPr>
        <w:tblStyle w:val="13"/>
        <w:tblW w:w="86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43"/>
        <w:gridCol w:w="2625"/>
        <w:gridCol w:w="30"/>
        <w:gridCol w:w="1646"/>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trPr>
        <w:tc>
          <w:tcPr>
            <w:tcW w:w="8660" w:type="dxa"/>
            <w:gridSpan w:val="5"/>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移出申请人信息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trPr>
        <w:tc>
          <w:tcPr>
            <w:tcW w:w="2543"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申请市场主体名称</w:t>
            </w:r>
          </w:p>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（申请自然人姓名）</w:t>
            </w:r>
          </w:p>
        </w:tc>
        <w:tc>
          <w:tcPr>
            <w:tcW w:w="6117" w:type="dxa"/>
            <w:gridSpan w:val="4"/>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trPr>
        <w:tc>
          <w:tcPr>
            <w:tcW w:w="2543"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统一社会信用代码</w:t>
            </w:r>
          </w:p>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（居民身份证号码）</w:t>
            </w:r>
          </w:p>
        </w:tc>
        <w:tc>
          <w:tcPr>
            <w:tcW w:w="6117" w:type="dxa"/>
            <w:gridSpan w:val="4"/>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trPr>
        <w:tc>
          <w:tcPr>
            <w:tcW w:w="2543"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联系人</w:t>
            </w:r>
          </w:p>
        </w:tc>
        <w:tc>
          <w:tcPr>
            <w:tcW w:w="2655" w:type="dxa"/>
            <w:gridSpan w:val="2"/>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c>
          <w:tcPr>
            <w:tcW w:w="1646"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联系电话</w:t>
            </w:r>
          </w:p>
        </w:tc>
        <w:tc>
          <w:tcPr>
            <w:tcW w:w="1816"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trPr>
        <w:tc>
          <w:tcPr>
            <w:tcW w:w="8660" w:type="dxa"/>
            <w:gridSpan w:val="5"/>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移出决定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4" w:hRule="atLeast"/>
        </w:trPr>
        <w:tc>
          <w:tcPr>
            <w:tcW w:w="2543"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失信记录标题</w:t>
            </w:r>
          </w:p>
        </w:tc>
        <w:tc>
          <w:tcPr>
            <w:tcW w:w="6117" w:type="dxa"/>
            <w:gridSpan w:val="4"/>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trPr>
        <w:tc>
          <w:tcPr>
            <w:tcW w:w="2543"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失信记录</w:t>
            </w:r>
          </w:p>
          <w:p>
            <w:pPr>
              <w:widowControl/>
              <w:spacing w:line="400" w:lineRule="exact"/>
              <w:jc w:val="center"/>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列入决定书文号</w:t>
            </w:r>
          </w:p>
        </w:tc>
        <w:tc>
          <w:tcPr>
            <w:tcW w:w="6117" w:type="dxa"/>
            <w:gridSpan w:val="4"/>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trPr>
        <w:tc>
          <w:tcPr>
            <w:tcW w:w="2543"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移出理由</w:t>
            </w:r>
          </w:p>
        </w:tc>
        <w:tc>
          <w:tcPr>
            <w:tcW w:w="6117" w:type="dxa"/>
            <w:gridSpan w:val="4"/>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trPr>
        <w:tc>
          <w:tcPr>
            <w:tcW w:w="2543"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移出决定</w:t>
            </w:r>
          </w:p>
        </w:tc>
        <w:tc>
          <w:tcPr>
            <w:tcW w:w="6117" w:type="dxa"/>
            <w:gridSpan w:val="4"/>
            <w:tcMar>
              <w:top w:w="0" w:type="dxa"/>
              <w:left w:w="108" w:type="dxa"/>
              <w:bottom w:w="0" w:type="dxa"/>
              <w:right w:w="108" w:type="dxa"/>
            </w:tcMar>
          </w:tcPr>
          <w:p>
            <w:pPr>
              <w:widowControl/>
              <w:spacing w:line="400" w:lineRule="exact"/>
              <w:jc w:val="left"/>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□同意移出，该记录转入存档。</w:t>
            </w:r>
          </w:p>
          <w:p>
            <w:pPr>
              <w:widowControl/>
              <w:spacing w:line="400" w:lineRule="exact"/>
              <w:jc w:val="left"/>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 xml:space="preserve">□不同意移出。                           </w:t>
            </w:r>
          </w:p>
          <w:p>
            <w:pPr>
              <w:widowControl/>
              <w:spacing w:line="400" w:lineRule="exact"/>
              <w:jc w:val="center"/>
              <w:rPr>
                <w:rFonts w:ascii="仿宋" w:hAnsi="仿宋" w:eastAsia="仿宋" w:cs="Times New Roman"/>
                <w:color w:val="000000" w:themeColor="text1"/>
                <w:kern w:val="0"/>
                <w:sz w:val="24"/>
                <w14:textFill>
                  <w14:solidFill>
                    <w14:schemeClr w14:val="tx1"/>
                  </w14:solidFill>
                </w14:textFill>
              </w:rPr>
            </w:pPr>
          </w:p>
          <w:p>
            <w:pPr>
              <w:spacing w:line="400" w:lineRule="exact"/>
              <w:ind w:right="480"/>
              <w:jc w:val="right"/>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 xml:space="preserve">                    盖章</w:t>
            </w:r>
          </w:p>
          <w:p>
            <w:pPr>
              <w:widowControl/>
              <w:spacing w:line="400" w:lineRule="exact"/>
              <w:jc w:val="center"/>
              <w:rPr>
                <w:rFonts w:ascii="仿宋" w:hAnsi="仿宋" w:eastAsia="仿宋" w:cs="Times New Roman"/>
                <w:color w:val="000000" w:themeColor="text1"/>
                <w:kern w:val="0"/>
                <w:sz w:val="24"/>
                <w14:textFill>
                  <w14:solidFill>
                    <w14:schemeClr w14:val="tx1"/>
                  </w14:solidFill>
                </w14:textFill>
              </w:rPr>
            </w:pPr>
            <w:r>
              <w:rPr>
                <w:rFonts w:hint="eastAsia" w:ascii="仿宋" w:hAnsi="仿宋" w:eastAsia="仿宋" w:cs="Times New Roman"/>
                <w:color w:val="000000" w:themeColor="text1"/>
                <w:kern w:val="0"/>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trPr>
        <w:tc>
          <w:tcPr>
            <w:tcW w:w="2543"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经办人</w:t>
            </w:r>
          </w:p>
        </w:tc>
        <w:tc>
          <w:tcPr>
            <w:tcW w:w="2625" w:type="dxa"/>
            <w:tcMar>
              <w:top w:w="0" w:type="dxa"/>
              <w:left w:w="108" w:type="dxa"/>
              <w:bottom w:w="0" w:type="dxa"/>
              <w:right w:w="108" w:type="dxa"/>
            </w:tcMar>
          </w:tcPr>
          <w:p>
            <w:pPr>
              <w:widowControl/>
              <w:spacing w:line="400" w:lineRule="exact"/>
              <w:jc w:val="left"/>
              <w:rPr>
                <w:rFonts w:ascii="方正仿宋_GBK" w:hAnsi="宋体" w:eastAsia="方正仿宋_GBK" w:cs="宋体"/>
                <w:color w:val="000000" w:themeColor="text1"/>
                <w:kern w:val="0"/>
                <w:sz w:val="24"/>
                <w14:textFill>
                  <w14:solidFill>
                    <w14:schemeClr w14:val="tx1"/>
                  </w14:solidFill>
                </w14:textFill>
              </w:rPr>
            </w:pPr>
          </w:p>
        </w:tc>
        <w:tc>
          <w:tcPr>
            <w:tcW w:w="1676" w:type="dxa"/>
            <w:gridSpan w:val="2"/>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联系电话</w:t>
            </w:r>
          </w:p>
        </w:tc>
        <w:tc>
          <w:tcPr>
            <w:tcW w:w="1816" w:type="dxa"/>
          </w:tcPr>
          <w:p>
            <w:pPr>
              <w:widowControl/>
              <w:spacing w:line="400" w:lineRule="exact"/>
              <w:jc w:val="left"/>
              <w:rPr>
                <w:rFonts w:ascii="方正仿宋_GBK" w:hAnsi="宋体" w:eastAsia="方正仿宋_GBK"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trPr>
        <w:tc>
          <w:tcPr>
            <w:tcW w:w="2543" w:type="dxa"/>
            <w:tcMar>
              <w:top w:w="0" w:type="dxa"/>
              <w:left w:w="108" w:type="dxa"/>
              <w:bottom w:w="0" w:type="dxa"/>
              <w:right w:w="108" w:type="dxa"/>
            </w:tcMar>
            <w:vAlign w:val="center"/>
          </w:tcPr>
          <w:p>
            <w:pPr>
              <w:widowControl/>
              <w:spacing w:line="400" w:lineRule="exact"/>
              <w:jc w:val="center"/>
              <w:rPr>
                <w:rFonts w:ascii="方正仿宋_GBK" w:hAnsi="宋体" w:eastAsia="方正仿宋_GBK" w:cs="宋体"/>
                <w:color w:val="000000" w:themeColor="text1"/>
                <w:kern w:val="0"/>
                <w:sz w:val="24"/>
                <w14:textFill>
                  <w14:solidFill>
                    <w14:schemeClr w14:val="tx1"/>
                  </w14:solidFill>
                </w14:textFill>
              </w:rPr>
            </w:pPr>
            <w:r>
              <w:rPr>
                <w:rFonts w:hint="eastAsia" w:ascii="方正仿宋_GBK" w:hAnsi="宋体" w:eastAsia="方正仿宋_GBK" w:cs="宋体"/>
                <w:color w:val="000000" w:themeColor="text1"/>
                <w:kern w:val="0"/>
                <w:sz w:val="24"/>
                <w14:textFill>
                  <w14:solidFill>
                    <w14:schemeClr w14:val="tx1"/>
                  </w14:solidFill>
                </w14:textFill>
              </w:rPr>
              <w:t>备注</w:t>
            </w:r>
          </w:p>
        </w:tc>
        <w:tc>
          <w:tcPr>
            <w:tcW w:w="6117" w:type="dxa"/>
            <w:gridSpan w:val="4"/>
            <w:tcMar>
              <w:top w:w="0" w:type="dxa"/>
              <w:left w:w="108" w:type="dxa"/>
              <w:bottom w:w="0" w:type="dxa"/>
              <w:right w:w="108" w:type="dxa"/>
            </w:tcMar>
          </w:tcPr>
          <w:p>
            <w:pPr>
              <w:widowControl/>
              <w:spacing w:line="400" w:lineRule="exact"/>
              <w:jc w:val="left"/>
              <w:rPr>
                <w:rFonts w:ascii="方正仿宋_GBK" w:hAnsi="宋体" w:eastAsia="方正仿宋_GBK" w:cs="宋体"/>
                <w:color w:val="000000" w:themeColor="text1"/>
                <w:kern w:val="0"/>
                <w:sz w:val="24"/>
                <w14:textFill>
                  <w14:solidFill>
                    <w14:schemeClr w14:val="tx1"/>
                  </w14:solidFill>
                </w14:textFill>
              </w:rPr>
            </w:pPr>
          </w:p>
        </w:tc>
      </w:tr>
    </w:tbl>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r>
        <w:rPr>
          <w:rFonts w:hint="eastAsia" w:ascii="方正楷体_GBK" w:eastAsia="方正楷体_GBK"/>
          <w:color w:val="000000" w:themeColor="text1"/>
          <w:spacing w:val="-20"/>
          <w:kern w:val="0"/>
          <w:szCs w:val="21"/>
          <w14:textFill>
            <w14:solidFill>
              <w14:schemeClr w14:val="tx1"/>
            </w14:solidFill>
          </w14:textFill>
        </w:rPr>
        <w:t>本表一式叁份，一份交由信用主体，区县民政部门、市民政局各留一份存档。</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重庆市民政局发布</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民政局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29E7"/>
    <w:multiLevelType w:val="singleLevel"/>
    <w:tmpl w:val="62A429E7"/>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6D78E1"/>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Body Text First Indent"/>
    <w:basedOn w:val="5"/>
    <w:uiPriority w:val="0"/>
    <w:pPr>
      <w:spacing w:line="560" w:lineRule="exact"/>
      <w:ind w:firstLine="721" w:firstLineChars="200"/>
    </w:pPr>
    <w:rPr>
      <w:rFonts w:ascii="Times New Roman" w:hAnsi="Times New Roman" w:eastAsia="仿宋_GB2312" w:cs="Times New Roman"/>
      <w:sz w:val="32"/>
    </w:rPr>
  </w:style>
  <w:style w:type="paragraph" w:styleId="5">
    <w:name w:val="Body Text"/>
    <w:basedOn w:val="1"/>
    <w:uiPriority w:val="0"/>
    <w:rPr>
      <w:rFonts w:ascii="Calibri" w:hAnsi="Calibri"/>
      <w:szCs w:val="22"/>
    </w:rPr>
  </w:style>
  <w:style w:type="paragraph" w:styleId="6">
    <w:name w:val="Normal Indent"/>
    <w:basedOn w:val="1"/>
    <w:next w:val="1"/>
    <w:uiPriority w:val="0"/>
    <w:pPr>
      <w:ind w:firstLine="420" w:firstLineChars="200"/>
    </w:pPr>
    <w:rPr>
      <w:rFonts w:ascii="Times New Roman" w:eastAsia="宋体"/>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4404</Words>
  <Characters>4462</Characters>
  <Lines>1</Lines>
  <Paragraphs>1</Paragraphs>
  <ScaleCrop>false</ScaleCrop>
  <LinksUpToDate>false</LinksUpToDate>
  <CharactersWithSpaces>4482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thust</cp:lastModifiedBy>
  <cp:lastPrinted>2022-05-11T08:46:00Z</cp:lastPrinted>
  <dcterms:modified xsi:type="dcterms:W3CDTF">2022-06-11T05:35:41Z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37C65AB8A8514BC48FC97866303F1DFC</vt:lpwstr>
  </property>
</Properties>
</file>